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center"/>
        <w:rPr>
          <w:rFonts w:ascii="Arial" w:hAnsi="Arial" w:cs="Arial"/>
          <w:b/>
          <w:bCs/>
          <w:i w:val="0"/>
          <w:caps w:val="0"/>
          <w:color w:val="333333"/>
          <w:spacing w:val="0"/>
          <w:sz w:val="30"/>
          <w:szCs w:val="30"/>
          <w:bdr w:val="none" w:color="auto" w:sz="0" w:space="0"/>
          <w:shd w:val="clear" w:fill="FFFFFF"/>
        </w:rPr>
      </w:pPr>
      <w:r>
        <w:rPr>
          <w:rFonts w:hint="eastAsia" w:ascii="Arial" w:hAnsi="Arial" w:cs="Arial"/>
          <w:b/>
          <w:bCs/>
          <w:i w:val="0"/>
          <w:caps w:val="0"/>
          <w:color w:val="333333"/>
          <w:spacing w:val="0"/>
          <w:sz w:val="30"/>
          <w:szCs w:val="30"/>
          <w:bdr w:val="none" w:color="auto" w:sz="0" w:space="0"/>
          <w:shd w:val="clear" w:fill="FFFFFF"/>
        </w:rPr>
        <w:t>全面实行注册制对原主板上市公司影响几何？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Fonts w:ascii="Arial" w:hAnsi="Arial" w:cs="Arial"/>
          <w:i w:val="0"/>
          <w:caps w:val="0"/>
          <w:color w:val="333333"/>
          <w:spacing w:val="0"/>
          <w:sz w:val="21"/>
          <w:szCs w:val="21"/>
          <w:bdr w:val="none" w:color="auto" w:sz="0" w:space="0"/>
          <w:shd w:val="clear" w:fill="FFFFFF"/>
        </w:rPr>
        <w:t>2023年2月1日，证监会及证券交易所等就全面实行股票发行注册制主要制度规则向社会公开征求意见，全面实行股票发行注册制改革正式启动。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2023年2月17日，证监会正式发布全面实行股票发行注册制相关制度规则，自公布之日起施行。同日，各证券交易所、全国股转公司、中国结算、中证金融、证券业协会配套制度规则同步发布。此次发布的制度规则共165部，其中证监会发布的制度规则57部，其他主体发布的配套制度规则108部。内容涵盖发行条件、注册程序、保荐承销、重大资产重组、监管执法、投资者保护等各个方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本次上交所共发布了26部业务规则，除已公开征求意见的9部主要业务规则外，还包括17部配套业务细则、指引和业务指南；深交所方面，除16部已征求意见的业务规则外，还发布了11部业务细则和3部业务指南。以上规则涵盖了全面实行注册制下发行上市审核、发行承销、持续监管、交易组织管理和投资者保护等环节的主要制度安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我们知道，本轮注册制改革的重中之重是上交所和深交所的主板。那么，上述新规的发布对原主板上市公司有哪些主要影响呢？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br w:type="textWrapping"/>
      </w:r>
      <w:r>
        <w:rPr>
          <w:rStyle w:val="7"/>
          <w:rFonts w:hint="default" w:ascii="Arial" w:hAnsi="Arial" w:cs="Arial"/>
          <w:i w:val="0"/>
          <w:caps w:val="0"/>
          <w:color w:val="333333"/>
          <w:spacing w:val="0"/>
          <w:sz w:val="21"/>
          <w:szCs w:val="21"/>
          <w:bdr w:val="none" w:color="auto" w:sz="0" w:space="0"/>
          <w:shd w:val="clear" w:fill="FFFFFF"/>
        </w:rPr>
        <w:t>一、再融资方面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（一）发行条件调整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主板上市公司证券发行条件精简优化。主要包括：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1.</w:t>
      </w:r>
      <w:r>
        <w:rPr>
          <w:rStyle w:val="7"/>
          <w:rFonts w:hint="default" w:ascii="Arial" w:hAnsi="Arial" w:cs="Arial"/>
          <w:i w:val="0"/>
          <w:caps w:val="0"/>
          <w:color w:val="333333"/>
          <w:spacing w:val="0"/>
          <w:sz w:val="21"/>
          <w:szCs w:val="21"/>
          <w:bdr w:val="none" w:color="auto" w:sz="0" w:space="0"/>
          <w:shd w:val="clear" w:fill="FFFFFF"/>
        </w:rPr>
        <w:t>调整</w:t>
      </w:r>
      <w:r>
        <w:rPr>
          <w:rFonts w:hint="default" w:ascii="Arial" w:hAnsi="Arial" w:cs="Arial"/>
          <w:i w:val="0"/>
          <w:caps w:val="0"/>
          <w:color w:val="333333"/>
          <w:spacing w:val="0"/>
          <w:sz w:val="21"/>
          <w:szCs w:val="21"/>
          <w:bdr w:val="none" w:color="auto" w:sz="0" w:space="0"/>
          <w:shd w:val="clear" w:fill="FFFFFF"/>
        </w:rPr>
        <w:t>发行可转债累计债券余额限制，上市公司发行可转债后累计公司债券余额由不超过最近一期末净资产额的40%，调整为不超过最近一期末净资产的50%，期限在一年以内的短期债券不计入累计债券余额。（《&lt;上市公司证券发行注册管理办法&gt;第九条、第十条、第十一条、第十三条、第四十条、第五十七条、第六十条有关规定的适用意见——证券期货法律适用意见第18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2.</w:t>
      </w:r>
      <w:r>
        <w:rPr>
          <w:rStyle w:val="7"/>
          <w:rFonts w:hint="default" w:ascii="Arial" w:hAnsi="Arial" w:cs="Arial"/>
          <w:i w:val="0"/>
          <w:caps w:val="0"/>
          <w:color w:val="333333"/>
          <w:spacing w:val="0"/>
          <w:sz w:val="21"/>
          <w:szCs w:val="21"/>
          <w:bdr w:val="none" w:color="auto" w:sz="0" w:space="0"/>
          <w:shd w:val="clear" w:fill="FFFFFF"/>
        </w:rPr>
        <w:t>删除</w:t>
      </w:r>
      <w:r>
        <w:rPr>
          <w:rFonts w:hint="default" w:ascii="Arial" w:hAnsi="Arial" w:cs="Arial"/>
          <w:i w:val="0"/>
          <w:caps w:val="0"/>
          <w:color w:val="333333"/>
          <w:spacing w:val="0"/>
          <w:sz w:val="21"/>
          <w:szCs w:val="21"/>
          <w:bdr w:val="none" w:color="auto" w:sz="0" w:space="0"/>
          <w:shd w:val="clear" w:fill="FFFFFF"/>
        </w:rPr>
        <w:t>向不特定对象发行证券现金分红条件，即不再要求“最近三年以现金方式累计分配的利润不少于最近三年实现的年均可分配利润的百分之三十”。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3.</w:t>
      </w:r>
      <w:r>
        <w:rPr>
          <w:rStyle w:val="7"/>
          <w:rFonts w:hint="default" w:ascii="Arial" w:hAnsi="Arial" w:cs="Arial"/>
          <w:i w:val="0"/>
          <w:caps w:val="0"/>
          <w:color w:val="333333"/>
          <w:spacing w:val="0"/>
          <w:sz w:val="21"/>
          <w:szCs w:val="21"/>
          <w:bdr w:val="none" w:color="auto" w:sz="0" w:space="0"/>
          <w:shd w:val="clear" w:fill="FFFFFF"/>
        </w:rPr>
        <w:t>删除</w:t>
      </w:r>
      <w:r>
        <w:rPr>
          <w:rFonts w:hint="default" w:ascii="Arial" w:hAnsi="Arial" w:cs="Arial"/>
          <w:i w:val="0"/>
          <w:caps w:val="0"/>
          <w:color w:val="333333"/>
          <w:spacing w:val="0"/>
          <w:sz w:val="21"/>
          <w:szCs w:val="21"/>
          <w:bdr w:val="none" w:color="auto" w:sz="0" w:space="0"/>
          <w:shd w:val="clear" w:fill="FFFFFF"/>
        </w:rPr>
        <w:t>向不特定对象发行证券的上市公司前次发行后业绩情况要求，即不再要求“最近二十四个月内曾公开发行证券的，不存在发行当年营业利润比上年下降百分之五十</w:t>
      </w:r>
      <w:bookmarkStart w:id="0" w:name="_GoBack"/>
      <w:bookmarkEnd w:id="0"/>
      <w:r>
        <w:rPr>
          <w:rFonts w:hint="default" w:ascii="Arial" w:hAnsi="Arial" w:cs="Arial"/>
          <w:i w:val="0"/>
          <w:caps w:val="0"/>
          <w:color w:val="333333"/>
          <w:spacing w:val="0"/>
          <w:sz w:val="21"/>
          <w:szCs w:val="21"/>
          <w:bdr w:val="none" w:color="auto" w:sz="0" w:space="0"/>
          <w:shd w:val="clear" w:fill="FFFFFF"/>
        </w:rPr>
        <w:t>以上的情形”。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4.</w:t>
      </w:r>
      <w:r>
        <w:rPr>
          <w:rStyle w:val="7"/>
          <w:rFonts w:hint="default" w:ascii="Arial" w:hAnsi="Arial" w:cs="Arial"/>
          <w:i w:val="0"/>
          <w:caps w:val="0"/>
          <w:color w:val="333333"/>
          <w:spacing w:val="0"/>
          <w:sz w:val="21"/>
          <w:szCs w:val="21"/>
          <w:bdr w:val="none" w:color="auto" w:sz="0" w:space="0"/>
          <w:shd w:val="clear" w:fill="FFFFFF"/>
        </w:rPr>
        <w:t>调整</w:t>
      </w:r>
      <w:r>
        <w:rPr>
          <w:rFonts w:hint="default" w:ascii="Arial" w:hAnsi="Arial" w:cs="Arial"/>
          <w:i w:val="0"/>
          <w:caps w:val="0"/>
          <w:color w:val="333333"/>
          <w:spacing w:val="0"/>
          <w:sz w:val="21"/>
          <w:szCs w:val="21"/>
          <w:bdr w:val="none" w:color="auto" w:sz="0" w:space="0"/>
          <w:shd w:val="clear" w:fill="FFFFFF"/>
        </w:rPr>
        <w:t>向特定对象发行股票重大违法行为发行条件的时间限制，严重损害上市公司利益或者投资者合法权益的重大违法行为的统计期间改为最近三年。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5.</w:t>
      </w:r>
      <w:r>
        <w:rPr>
          <w:rStyle w:val="7"/>
          <w:rFonts w:hint="default" w:ascii="Arial" w:hAnsi="Arial" w:cs="Arial"/>
          <w:i w:val="0"/>
          <w:caps w:val="0"/>
          <w:color w:val="333333"/>
          <w:spacing w:val="0"/>
          <w:sz w:val="21"/>
          <w:szCs w:val="21"/>
          <w:bdr w:val="none" w:color="auto" w:sz="0" w:space="0"/>
          <w:shd w:val="clear" w:fill="FFFFFF"/>
        </w:rPr>
        <w:t>明确</w:t>
      </w:r>
      <w:r>
        <w:rPr>
          <w:rFonts w:hint="default" w:ascii="Arial" w:hAnsi="Arial" w:cs="Arial"/>
          <w:i w:val="0"/>
          <w:caps w:val="0"/>
          <w:color w:val="333333"/>
          <w:spacing w:val="0"/>
          <w:sz w:val="21"/>
          <w:szCs w:val="21"/>
          <w:bdr w:val="none" w:color="auto" w:sz="0" w:space="0"/>
          <w:shd w:val="clear" w:fill="FFFFFF"/>
        </w:rPr>
        <w:t>向特定对象发行可转债的条件。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6.</w:t>
      </w:r>
      <w:r>
        <w:rPr>
          <w:rStyle w:val="7"/>
          <w:rFonts w:hint="default" w:ascii="Arial" w:hAnsi="Arial" w:cs="Arial"/>
          <w:i w:val="0"/>
          <w:caps w:val="0"/>
          <w:color w:val="333333"/>
          <w:spacing w:val="0"/>
          <w:sz w:val="21"/>
          <w:szCs w:val="21"/>
          <w:bdr w:val="none" w:color="auto" w:sz="0" w:space="0"/>
          <w:shd w:val="clear" w:fill="FFFFFF"/>
        </w:rPr>
        <w:t>删除</w:t>
      </w:r>
      <w:r>
        <w:rPr>
          <w:rFonts w:hint="default" w:ascii="Arial" w:hAnsi="Arial" w:cs="Arial"/>
          <w:i w:val="0"/>
          <w:caps w:val="0"/>
          <w:color w:val="333333"/>
          <w:spacing w:val="0"/>
          <w:sz w:val="21"/>
          <w:szCs w:val="21"/>
          <w:bdr w:val="none" w:color="auto" w:sz="0" w:space="0"/>
          <w:shd w:val="clear" w:fill="FFFFFF"/>
        </w:rPr>
        <w:t>向特定对象发行股票不得存在上市公司及附属企业违规对外提供担保的限制。</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6810375"/>
            <wp:effectExtent l="0" t="0" r="0" b="190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5"/>
                    <a:stretch>
                      <a:fillRect/>
                    </a:stretch>
                  </pic:blipFill>
                  <pic:spPr>
                    <a:xfrm>
                      <a:off x="0" y="0"/>
                      <a:ext cx="6096000" cy="6810375"/>
                    </a:xfrm>
                    <a:prstGeom prst="rect">
                      <a:avLst/>
                    </a:prstGeom>
                    <a:noFill/>
                    <a:ln w="9525">
                      <a:noFill/>
                    </a:ln>
                  </pic:spPr>
                </pic:pic>
              </a:graphicData>
            </a:graphic>
          </wp:inline>
        </w:drawing>
      </w:r>
    </w:p>
    <w:p>
      <w:pPr>
        <w:keepNext w:val="0"/>
        <w:keepLines w:val="0"/>
        <w:widowControl/>
        <w:suppressLineNumbers w:val="0"/>
        <w:shd w:val="clear" w:fill="FFFFFF"/>
        <w:spacing w:before="480"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6553200"/>
            <wp:effectExtent l="0" t="0" r="0"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6"/>
                    <a:stretch>
                      <a:fillRect/>
                    </a:stretch>
                  </pic:blipFill>
                  <pic:spPr>
                    <a:xfrm>
                      <a:off x="0" y="0"/>
                      <a:ext cx="6096000" cy="6553200"/>
                    </a:xfrm>
                    <a:prstGeom prst="rect">
                      <a:avLst/>
                    </a:prstGeom>
                    <a:noFill/>
                    <a:ln w="9525">
                      <a:noFill/>
                    </a:ln>
                  </pic:spPr>
                </pic:pic>
              </a:graphicData>
            </a:graphic>
          </wp:inline>
        </w:drawing>
      </w:r>
    </w:p>
    <w:p>
      <w:pPr>
        <w:keepNext w:val="0"/>
        <w:keepLines w:val="0"/>
        <w:widowControl/>
        <w:suppressLineNumbers w:val="0"/>
        <w:shd w:val="clear" w:fill="FFFFFF"/>
        <w:spacing w:before="480"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7038975"/>
            <wp:effectExtent l="0" t="0" r="0" b="1905"/>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7"/>
                    <a:stretch>
                      <a:fillRect/>
                    </a:stretch>
                  </pic:blipFill>
                  <pic:spPr>
                    <a:xfrm>
                      <a:off x="0" y="0"/>
                      <a:ext cx="6096000" cy="7038975"/>
                    </a:xfrm>
                    <a:prstGeom prst="rect">
                      <a:avLst/>
                    </a:prstGeom>
                    <a:noFill/>
                    <a:ln w="9525">
                      <a:noFill/>
                    </a:ln>
                  </pic:spPr>
                </pic:pic>
              </a:graphicData>
            </a:graphic>
          </wp:inline>
        </w:drawing>
      </w:r>
    </w:p>
    <w:p>
      <w:pPr>
        <w:keepNext w:val="0"/>
        <w:keepLines w:val="0"/>
        <w:widowControl/>
        <w:suppressLineNumbers w:val="0"/>
        <w:shd w:val="clear" w:fill="FFFFFF"/>
        <w:spacing w:before="480"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7029450"/>
            <wp:effectExtent l="0" t="0" r="0" b="1143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6096000" cy="7029450"/>
                    </a:xfrm>
                    <a:prstGeom prst="rect">
                      <a:avLst/>
                    </a:prstGeom>
                    <a:noFill/>
                    <a:ln w="9525">
                      <a:noFill/>
                    </a:ln>
                  </pic:spPr>
                </pic:pic>
              </a:graphicData>
            </a:graphic>
          </wp:inline>
        </w:drawing>
      </w:r>
    </w:p>
    <w:p>
      <w:pPr>
        <w:keepNext w:val="0"/>
        <w:keepLines w:val="0"/>
        <w:widowControl/>
        <w:suppressLineNumbers w:val="0"/>
        <w:shd w:val="clear" w:fill="FFFFFF"/>
        <w:spacing w:before="480"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7362825"/>
            <wp:effectExtent l="0" t="0" r="0" b="1333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9"/>
                    <a:stretch>
                      <a:fillRect/>
                    </a:stretch>
                  </pic:blipFill>
                  <pic:spPr>
                    <a:xfrm>
                      <a:off x="0" y="0"/>
                      <a:ext cx="6096000" cy="7362825"/>
                    </a:xfrm>
                    <a:prstGeom prst="rect">
                      <a:avLst/>
                    </a:prstGeom>
                    <a:noFill/>
                    <a:ln w="9525">
                      <a:noFill/>
                    </a:ln>
                  </pic:spPr>
                </pic:pic>
              </a:graphicData>
            </a:graphic>
          </wp:inline>
        </w:drawing>
      </w:r>
    </w:p>
    <w:p>
      <w:pPr>
        <w:keepNext w:val="0"/>
        <w:keepLines w:val="0"/>
        <w:widowControl/>
        <w:suppressLineNumbers w:val="0"/>
        <w:shd w:val="clear" w:fill="FFFFFF"/>
        <w:spacing w:before="480"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6934200"/>
            <wp:effectExtent l="0" t="0" r="0" b="0"/>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10"/>
                    <a:stretch>
                      <a:fillRect/>
                    </a:stretch>
                  </pic:blipFill>
                  <pic:spPr>
                    <a:xfrm>
                      <a:off x="0" y="0"/>
                      <a:ext cx="6096000" cy="6934200"/>
                    </a:xfrm>
                    <a:prstGeom prst="rect">
                      <a:avLst/>
                    </a:prstGeom>
                    <a:noFill/>
                    <a:ln w="9525">
                      <a:noFill/>
                    </a:ln>
                  </pic:spPr>
                </pic:pic>
              </a:graphicData>
            </a:graphic>
          </wp:inline>
        </w:drawing>
      </w:r>
    </w:p>
    <w:p>
      <w:pPr>
        <w:keepNext w:val="0"/>
        <w:keepLines w:val="0"/>
        <w:widowControl/>
        <w:suppressLineNumbers w:val="0"/>
        <w:shd w:val="clear" w:fill="FFFFFF"/>
        <w:spacing w:before="480"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6467475"/>
            <wp:effectExtent l="0" t="0" r="0" b="952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1"/>
                    <a:stretch>
                      <a:fillRect/>
                    </a:stretch>
                  </pic:blipFill>
                  <pic:spPr>
                    <a:xfrm>
                      <a:off x="0" y="0"/>
                      <a:ext cx="6096000" cy="64674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注：下划线标识修订的内容，下同。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（二）发行程序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向特定对象发行股票简易程序向主板推广，年度股东大会授权董事会决定“小额快速”融资事项：</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2000250"/>
            <wp:effectExtent l="0" t="0" r="0" b="1143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2"/>
                    <a:stretch>
                      <a:fillRect/>
                    </a:stretch>
                  </pic:blipFill>
                  <pic:spPr>
                    <a:xfrm>
                      <a:off x="0" y="0"/>
                      <a:ext cx="6096000" cy="20002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不适用“简易程序”的情况：</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2771775"/>
            <wp:effectExtent l="0" t="0" r="0" b="190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3"/>
                    <a:stretch>
                      <a:fillRect/>
                    </a:stretch>
                  </pic:blipFill>
                  <pic:spPr>
                    <a:xfrm>
                      <a:off x="0" y="0"/>
                      <a:ext cx="6096000" cy="27717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注：深交所规则内容基本一致。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（三）发行审核注册流程</w:t>
      </w:r>
      <w:r>
        <w:rPr>
          <w:rFonts w:hint="default" w:ascii="Arial" w:hAnsi="Arial" w:cs="Arial"/>
          <w:i w:val="0"/>
          <w:caps w:val="0"/>
          <w:color w:val="333333"/>
          <w:spacing w:val="0"/>
          <w:sz w:val="21"/>
          <w:szCs w:val="21"/>
          <w:bdr w:val="none" w:color="auto" w:sz="0" w:space="0"/>
          <w:shd w:val="clear" w:fill="FFFFFF"/>
        </w:rPr>
        <w:t>本次改革后，上市公司再融资发行审核流程调整为：</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4752975"/>
            <wp:effectExtent l="0" t="0" r="0" b="190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4"/>
                    <a:stretch>
                      <a:fillRect/>
                    </a:stretch>
                  </pic:blipFill>
                  <pic:spPr>
                    <a:xfrm>
                      <a:off x="0" y="0"/>
                      <a:ext cx="6096000" cy="47529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br w:type="textWrapping"/>
      </w:r>
      <w:r>
        <w:rPr>
          <w:rStyle w:val="7"/>
          <w:rFonts w:hint="default" w:ascii="Arial" w:hAnsi="Arial" w:cs="Arial"/>
          <w:i w:val="0"/>
          <w:caps w:val="0"/>
          <w:color w:val="333333"/>
          <w:spacing w:val="0"/>
          <w:sz w:val="21"/>
          <w:szCs w:val="21"/>
          <w:bdr w:val="none" w:color="auto" w:sz="0" w:space="0"/>
          <w:shd w:val="clear" w:fill="FFFFFF"/>
        </w:rPr>
        <w:t>二、并购重组方面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（一）调整重组认定标准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营业收入指标增加“超过五千万元人民币”金额要求。</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4467225"/>
            <wp:effectExtent l="0" t="0" r="0" b="1333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6096000" cy="4467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（二）发行底价调整</w:t>
      </w:r>
      <w:r>
        <w:rPr>
          <w:rFonts w:hint="default" w:ascii="Arial" w:hAnsi="Arial" w:cs="Arial"/>
          <w:i w:val="0"/>
          <w:caps w:val="0"/>
          <w:color w:val="333333"/>
          <w:spacing w:val="0"/>
          <w:sz w:val="21"/>
          <w:szCs w:val="21"/>
          <w:bdr w:val="none" w:color="auto" w:sz="0" w:space="0"/>
          <w:shd w:val="clear" w:fill="FFFFFF"/>
        </w:rPr>
        <w:br w:type="textWrapping"/>
      </w:r>
      <w:r>
        <w:rPr>
          <w:rFonts w:hint="default" w:ascii="Arial" w:hAnsi="Arial" w:cs="Arial"/>
          <w:i w:val="0"/>
          <w:caps w:val="0"/>
          <w:color w:val="333333"/>
          <w:spacing w:val="0"/>
          <w:sz w:val="21"/>
          <w:szCs w:val="21"/>
          <w:bdr w:val="none" w:color="auto" w:sz="0" w:space="0"/>
          <w:shd w:val="clear" w:fill="FFFFFF"/>
        </w:rPr>
        <w:t>上市公司为购买资产所发行股份的底价从市场参考价的九折调整为八折：</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1657350"/>
            <wp:effectExtent l="0" t="0" r="0" b="381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6"/>
                    <a:stretch>
                      <a:fillRect/>
                    </a:stretch>
                  </pic:blipFill>
                  <pic:spPr>
                    <a:xfrm>
                      <a:off x="0" y="0"/>
                      <a:ext cx="6096000" cy="16573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（三）新增重组提示性公告后6个月及12个月的进展披露</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1971675"/>
            <wp:effectExtent l="0" t="0" r="0" b="9525"/>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7"/>
                    <a:stretch>
                      <a:fillRect/>
                    </a:stretch>
                  </pic:blipFill>
                  <pic:spPr>
                    <a:xfrm>
                      <a:off x="0" y="0"/>
                      <a:ext cx="6096000" cy="19716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center"/>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注：上交所规则无此要求。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（四）重组审核注册流程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新规实施后，上市公司涉及发行股份购买资产的，按照以下流程进行：</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4524375"/>
            <wp:effectExtent l="0" t="0" r="0" b="1905"/>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18"/>
                    <a:stretch>
                      <a:fillRect/>
                    </a:stretch>
                  </pic:blipFill>
                  <pic:spPr>
                    <a:xfrm>
                      <a:off x="0" y="0"/>
                      <a:ext cx="6096000" cy="45243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（五）并购重组委工作会议召开当日不再停牌</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441007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9"/>
                    <a:stretch>
                      <a:fillRect/>
                    </a:stretch>
                  </pic:blipFill>
                  <pic:spPr>
                    <a:xfrm>
                      <a:off x="0" y="0"/>
                      <a:ext cx="6096000" cy="4410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注：深交所规则内容基本一致。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（六）明确主板重组上市标的资产业绩条件</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2838450"/>
            <wp:effectExtent l="0" t="0" r="0" b="1143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20"/>
                    <a:stretch>
                      <a:fillRect/>
                    </a:stretch>
                  </pic:blipFill>
                  <pic:spPr>
                    <a:xfrm>
                      <a:off x="0" y="0"/>
                      <a:ext cx="6096000" cy="28384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注：深交所规则内容基本一致。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（七）调整独立财务顾问持续督导期</w:t>
      </w:r>
      <w:r>
        <w:rPr>
          <w:rFonts w:hint="default" w:ascii="Arial" w:hAnsi="Arial" w:cs="Arial"/>
          <w:i w:val="0"/>
          <w:caps w:val="0"/>
          <w:color w:val="333333"/>
          <w:spacing w:val="0"/>
          <w:sz w:val="21"/>
          <w:szCs w:val="21"/>
          <w:bdr w:val="none" w:color="auto" w:sz="0" w:space="0"/>
          <w:shd w:val="clear" w:fill="FFFFFF"/>
        </w:rPr>
        <w:t>起算时点调整为“重大资产重组实施完毕之日”，并规定在持续督导期限届满后，仍存在尚未完结的督导事项的，独立财务顾问应当继续履行督导职责。</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2486025"/>
            <wp:effectExtent l="0" t="0" r="0" b="1333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1"/>
                    <a:stretch>
                      <a:fillRect/>
                    </a:stretch>
                  </pic:blipFill>
                  <pic:spPr>
                    <a:xfrm>
                      <a:off x="0" y="0"/>
                      <a:ext cx="6096000" cy="24860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（八）增加重组整合管控的持续披露</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2867025"/>
            <wp:effectExtent l="0" t="0" r="0" b="1333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2"/>
                    <a:stretch>
                      <a:fillRect/>
                    </a:stretch>
                  </pic:blipFill>
                  <pic:spPr>
                    <a:xfrm>
                      <a:off x="0" y="0"/>
                      <a:ext cx="6096000" cy="28670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注：深交所规则内容基本一致。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br w:type="textWrapping"/>
      </w:r>
      <w:r>
        <w:rPr>
          <w:rStyle w:val="7"/>
          <w:rFonts w:hint="default" w:ascii="Arial" w:hAnsi="Arial" w:cs="Arial"/>
          <w:i w:val="0"/>
          <w:caps w:val="0"/>
          <w:color w:val="333333"/>
          <w:spacing w:val="0"/>
          <w:sz w:val="21"/>
          <w:szCs w:val="21"/>
          <w:bdr w:val="none" w:color="auto" w:sz="0" w:space="0"/>
          <w:shd w:val="clear" w:fill="FFFFFF"/>
        </w:rPr>
        <w:t>三、股份变动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规范持有上市公司5%以上股份的契约型基金、信托计划或者资产管理计划等“三类股东”的权益变动披露要求，要求在权益变动文件中予以穿透披露：</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2266950"/>
            <wp:effectExtent l="0" t="0" r="0" b="381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3"/>
                    <a:stretch>
                      <a:fillRect/>
                    </a:stretch>
                  </pic:blipFill>
                  <pic:spPr>
                    <a:xfrm>
                      <a:off x="0" y="0"/>
                      <a:ext cx="6096000" cy="22669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注：深交所规则内容基本一致。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br w:type="textWrapping"/>
      </w:r>
      <w:r>
        <w:rPr>
          <w:rStyle w:val="7"/>
          <w:rFonts w:hint="default" w:ascii="Arial" w:hAnsi="Arial" w:cs="Arial"/>
          <w:i w:val="0"/>
          <w:caps w:val="0"/>
          <w:color w:val="333333"/>
          <w:spacing w:val="0"/>
          <w:sz w:val="21"/>
          <w:szCs w:val="21"/>
          <w:bdr w:val="none" w:color="auto" w:sz="0" w:space="0"/>
          <w:shd w:val="clear" w:fill="FFFFFF"/>
        </w:rPr>
        <w:t>四、股票交易</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（一）调整沪主板风险警示板异常波动标准</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1781175"/>
            <wp:effectExtent l="0" t="0" r="0" b="190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4"/>
                    <a:stretch>
                      <a:fillRect/>
                    </a:stretch>
                  </pic:blipFill>
                  <pic:spPr>
                    <a:xfrm>
                      <a:off x="0" y="0"/>
                      <a:ext cx="6096000" cy="17811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（二）增加严重异常波动的信息披露</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6086475"/>
            <wp:effectExtent l="0" t="0" r="0"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5"/>
                    <a:stretch>
                      <a:fillRect/>
                    </a:stretch>
                  </pic:blipFill>
                  <pic:spPr>
                    <a:xfrm>
                      <a:off x="0" y="0"/>
                      <a:ext cx="6096000" cy="60864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注：深交所规则内容基本一致。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rPr>
          <w:caps w:val="0"/>
          <w:color w:val="333333"/>
          <w:sz w:val="21"/>
          <w:szCs w:val="21"/>
        </w:rPr>
      </w:pPr>
      <w:r>
        <w:rPr>
          <w:rStyle w:val="7"/>
          <w:rFonts w:hint="default" w:ascii="Arial" w:hAnsi="Arial" w:cs="Arial"/>
          <w:i w:val="0"/>
          <w:caps w:val="0"/>
          <w:color w:val="333333"/>
          <w:spacing w:val="0"/>
          <w:sz w:val="21"/>
          <w:szCs w:val="21"/>
          <w:bdr w:val="none" w:color="auto" w:sz="0" w:space="0"/>
          <w:shd w:val="clear" w:fill="FFFFFF"/>
        </w:rPr>
        <w:t>（三）统一无价格涨跌幅股票盘中临时停牌时间要求</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7115175"/>
            <wp:effectExtent l="0" t="0" r="0" b="190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6"/>
                    <a:stretch>
                      <a:fillRect/>
                    </a:stretch>
                  </pic:blipFill>
                  <pic:spPr>
                    <a:xfrm>
                      <a:off x="0" y="0"/>
                      <a:ext cx="6096000" cy="7115175"/>
                    </a:xfrm>
                    <a:prstGeom prst="rect">
                      <a:avLst/>
                    </a:prstGeom>
                    <a:noFill/>
                    <a:ln w="9525">
                      <a:noFill/>
                    </a:ln>
                  </pic:spPr>
                </pic:pic>
              </a:graphicData>
            </a:graphic>
          </wp:inline>
        </w:drawing>
      </w:r>
    </w:p>
    <w:p>
      <w:pPr>
        <w:keepNext w:val="0"/>
        <w:keepLines w:val="0"/>
        <w:widowControl/>
        <w:suppressLineNumbers w:val="0"/>
        <w:shd w:val="clear" w:fill="FFFFFF"/>
        <w:spacing w:before="480"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7143750"/>
            <wp:effectExtent l="0" t="0" r="0" b="381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7"/>
                    <a:stretch>
                      <a:fillRect/>
                    </a:stretch>
                  </pic:blipFill>
                  <pic:spPr>
                    <a:xfrm>
                      <a:off x="0" y="0"/>
                      <a:ext cx="6096000" cy="71437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br w:type="textWrapping"/>
      </w:r>
      <w:r>
        <w:rPr>
          <w:rStyle w:val="7"/>
          <w:rFonts w:hint="default" w:ascii="Arial" w:hAnsi="Arial" w:cs="Arial"/>
          <w:i w:val="0"/>
          <w:caps w:val="0"/>
          <w:color w:val="333333"/>
          <w:spacing w:val="0"/>
          <w:sz w:val="21"/>
          <w:szCs w:val="21"/>
          <w:bdr w:val="none" w:color="auto" w:sz="0" w:space="0"/>
          <w:shd w:val="clear" w:fill="FFFFFF"/>
        </w:rPr>
        <w:t>五、退市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增加重大信息披露违法强制退市情形相关适用安排，区分2020年度前及2020年度之后终止上市的适用情形：</w:t>
      </w:r>
    </w:p>
    <w:p>
      <w:pPr>
        <w:keepNext w:val="0"/>
        <w:keepLines w:val="0"/>
        <w:widowControl/>
        <w:suppressLineNumbers w:val="0"/>
        <w:shd w:val="clear" w:fill="FFFFFF"/>
        <w:spacing w:before="264" w:beforeAutospacing="0"/>
        <w:ind w:left="0" w:firstLine="0"/>
        <w:jc w:val="left"/>
        <w:rPr>
          <w:rFonts w:hint="default" w:ascii="Arial" w:hAnsi="Arial" w:cs="Arial"/>
          <w:i w:val="0"/>
          <w:caps w:val="0"/>
          <w:color w:val="000000"/>
          <w:spacing w:val="0"/>
          <w:sz w:val="14"/>
          <w:szCs w:val="14"/>
        </w:rPr>
      </w:pPr>
      <w:r>
        <w:rPr>
          <w:rFonts w:hint="default" w:ascii="Arial" w:hAnsi="Arial" w:eastAsia="宋体" w:cs="Arial"/>
          <w:i w:val="0"/>
          <w:caps w:val="0"/>
          <w:color w:val="000000"/>
          <w:spacing w:val="0"/>
          <w:kern w:val="0"/>
          <w:sz w:val="14"/>
          <w:szCs w:val="14"/>
          <w:bdr w:val="none" w:color="auto" w:sz="0" w:space="0"/>
          <w:shd w:val="clear" w:fill="FFFFFF"/>
          <w:lang w:val="en-US" w:eastAsia="zh-CN" w:bidi="ar"/>
        </w:rPr>
        <w:drawing>
          <wp:inline distT="0" distB="0" distL="114300" distR="114300">
            <wp:extent cx="6096000" cy="7324725"/>
            <wp:effectExtent l="0" t="0" r="0" b="571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8"/>
                    <a:stretch>
                      <a:fillRect/>
                    </a:stretch>
                  </pic:blipFill>
                  <pic:spPr>
                    <a:xfrm>
                      <a:off x="0" y="0"/>
                      <a:ext cx="6096000" cy="73247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36" w:beforeAutospacing="0" w:after="0" w:afterAutospacing="0" w:line="360" w:lineRule="atLeast"/>
        <w:ind w:left="0" w:right="0" w:firstLine="0"/>
        <w:jc w:val="both"/>
        <w:rPr>
          <w:caps w:val="0"/>
          <w:color w:val="333333"/>
          <w:sz w:val="21"/>
          <w:szCs w:val="21"/>
        </w:rPr>
      </w:pPr>
      <w:r>
        <w:rPr>
          <w:rFonts w:hint="default" w:ascii="Arial" w:hAnsi="Arial" w:cs="Arial"/>
          <w:i w:val="0"/>
          <w:caps w:val="0"/>
          <w:color w:val="333333"/>
          <w:spacing w:val="0"/>
          <w:sz w:val="21"/>
          <w:szCs w:val="21"/>
          <w:bdr w:val="none" w:color="auto" w:sz="0" w:space="0"/>
          <w:shd w:val="clear" w:fill="FFFFFF"/>
        </w:rPr>
        <w:t>注：深交所规则内容基本一致。</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V9obDAgAA2AUAAA4AAABkcnMvZTJvRG9jLnhtbK1UzY7TMBC+I/EO&#10;lu/ZJN20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KeV9ob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D73CF8"/>
    <w:rsid w:val="02702FA4"/>
    <w:rsid w:val="05957C05"/>
    <w:rsid w:val="06D73CF8"/>
    <w:rsid w:val="0CD16DB4"/>
    <w:rsid w:val="159D54DD"/>
    <w:rsid w:val="195C7A6F"/>
    <w:rsid w:val="1A592637"/>
    <w:rsid w:val="1AA05F1D"/>
    <w:rsid w:val="1B8F1D8F"/>
    <w:rsid w:val="1D8E5120"/>
    <w:rsid w:val="1E982BF1"/>
    <w:rsid w:val="21D10405"/>
    <w:rsid w:val="268F4028"/>
    <w:rsid w:val="29085450"/>
    <w:rsid w:val="2AAC182B"/>
    <w:rsid w:val="2E700DE4"/>
    <w:rsid w:val="2F7420ED"/>
    <w:rsid w:val="31A43150"/>
    <w:rsid w:val="32A52E02"/>
    <w:rsid w:val="34BC7662"/>
    <w:rsid w:val="3549260A"/>
    <w:rsid w:val="36732A0F"/>
    <w:rsid w:val="39CC343D"/>
    <w:rsid w:val="3ACA0417"/>
    <w:rsid w:val="3C792D83"/>
    <w:rsid w:val="3E4601B0"/>
    <w:rsid w:val="3E614983"/>
    <w:rsid w:val="41857993"/>
    <w:rsid w:val="44907CC1"/>
    <w:rsid w:val="475C7D83"/>
    <w:rsid w:val="49345036"/>
    <w:rsid w:val="4B5E0443"/>
    <w:rsid w:val="4DDD110E"/>
    <w:rsid w:val="4E1919F8"/>
    <w:rsid w:val="4E676C7D"/>
    <w:rsid w:val="513335B2"/>
    <w:rsid w:val="55F76965"/>
    <w:rsid w:val="569B3B0C"/>
    <w:rsid w:val="5C0C3353"/>
    <w:rsid w:val="5CF33B90"/>
    <w:rsid w:val="5E9C27B0"/>
    <w:rsid w:val="5EC50F25"/>
    <w:rsid w:val="62FC7E58"/>
    <w:rsid w:val="664F2482"/>
    <w:rsid w:val="6A23791F"/>
    <w:rsid w:val="6AE75B9E"/>
    <w:rsid w:val="6CF61FC1"/>
    <w:rsid w:val="6D1B2A48"/>
    <w:rsid w:val="73591031"/>
    <w:rsid w:val="73D80D2C"/>
    <w:rsid w:val="77676EE5"/>
    <w:rsid w:val="79663F11"/>
    <w:rsid w:val="7A1173F9"/>
    <w:rsid w:val="7B792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cy</Company>
  <Pages>1</Pages>
  <Words>0</Words>
  <Characters>0</Characters>
  <Lines>0</Lines>
  <Paragraphs>0</Paragraphs>
  <TotalTime>2</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2023-03-03T02:43:00Z</dcterms:created>
  <dc:creator>叶建兵</dc:creator>
  <cp:lastModifiedBy>叶建兵</cp:lastModifiedBy>
  <dcterms:modified xsi:type="dcterms:W3CDTF">2023-03-03T02:46:00Z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