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40" w:lineRule="exact"/>
        <w:rPr>
          <w:rFonts w:hint="default" w:eastAsia="宋体"/>
          <w:color w:val="auto"/>
          <w:sz w:val="24"/>
          <w:lang w:val="en-US" w:eastAsia="zh-CN"/>
        </w:rPr>
      </w:pPr>
      <w:r>
        <w:rPr>
          <w:color w:val="auto"/>
          <w:sz w:val="24"/>
        </w:rPr>
        <w:t xml:space="preserve">证券代码：000966 </w:t>
      </w:r>
      <w:r>
        <w:rPr>
          <w:rFonts w:hint="eastAsia"/>
          <w:color w:val="auto"/>
          <w:sz w:val="24"/>
        </w:rPr>
        <w:t xml:space="preserve"> </w:t>
      </w:r>
      <w:r>
        <w:rPr>
          <w:color w:val="auto"/>
          <w:sz w:val="24"/>
        </w:rPr>
        <w:t xml:space="preserve">        证券简称</w:t>
      </w:r>
      <w:r>
        <w:rPr>
          <w:color w:val="auto"/>
          <w:sz w:val="24"/>
          <w:highlight w:val="none"/>
        </w:rPr>
        <w:t xml:space="preserve">：长源电力   </w:t>
      </w:r>
      <w:r>
        <w:rPr>
          <w:rFonts w:hint="eastAsia"/>
          <w:color w:val="auto"/>
          <w:sz w:val="24"/>
          <w:highlight w:val="none"/>
        </w:rPr>
        <w:t xml:space="preserve"> </w:t>
      </w:r>
      <w:r>
        <w:rPr>
          <w:color w:val="auto"/>
          <w:sz w:val="24"/>
          <w:highlight w:val="none"/>
        </w:rPr>
        <w:t xml:space="preserve">   公告编号：</w:t>
      </w:r>
      <w:r>
        <w:rPr>
          <w:rFonts w:hint="eastAsia"/>
          <w:color w:val="auto"/>
          <w:sz w:val="24"/>
          <w:highlight w:val="none"/>
          <w:lang w:val="en-US" w:eastAsia="zh-CN"/>
        </w:rPr>
        <w:t>2025-096</w:t>
      </w:r>
    </w:p>
    <w:p>
      <w:pPr>
        <w:adjustRightInd w:val="0"/>
        <w:snapToGrid w:val="0"/>
        <w:spacing w:line="440" w:lineRule="exact"/>
        <w:jc w:val="center"/>
        <w:rPr>
          <w:b/>
          <w:color w:val="auto"/>
          <w:kern w:val="0"/>
          <w:sz w:val="32"/>
          <w:szCs w:val="32"/>
        </w:rPr>
      </w:pPr>
    </w:p>
    <w:p>
      <w:pPr>
        <w:adjustRightInd w:val="0"/>
        <w:snapToGrid w:val="0"/>
        <w:spacing w:line="440" w:lineRule="exact"/>
        <w:jc w:val="center"/>
        <w:outlineLvl w:val="0"/>
        <w:rPr>
          <w:rFonts w:ascii="方正小标宋简体" w:hAnsi="方正小标宋简体" w:eastAsia="方正小标宋简体" w:cs="方正小标宋简体"/>
          <w:bCs/>
          <w:color w:val="auto"/>
          <w:kern w:val="0"/>
          <w:sz w:val="32"/>
          <w:szCs w:val="32"/>
        </w:rPr>
      </w:pPr>
      <w:r>
        <w:rPr>
          <w:rFonts w:hint="eastAsia" w:ascii="方正小标宋简体" w:hAnsi="方正小标宋简体" w:eastAsia="方正小标宋简体" w:cs="方正小标宋简体"/>
          <w:bCs/>
          <w:color w:val="auto"/>
          <w:kern w:val="0"/>
          <w:sz w:val="32"/>
          <w:szCs w:val="32"/>
        </w:rPr>
        <w:t>国家能源集团长源电力股份有限公司</w:t>
      </w:r>
    </w:p>
    <w:p>
      <w:pPr>
        <w:adjustRightInd w:val="0"/>
        <w:snapToGrid w:val="0"/>
        <w:spacing w:line="440" w:lineRule="exact"/>
        <w:jc w:val="center"/>
        <w:outlineLvl w:val="0"/>
        <w:rPr>
          <w:b/>
          <w:color w:val="auto"/>
          <w:kern w:val="0"/>
          <w:sz w:val="32"/>
          <w:szCs w:val="32"/>
        </w:rPr>
      </w:pPr>
      <w:r>
        <w:rPr>
          <w:rFonts w:hint="eastAsia" w:ascii="方正小标宋简体" w:hAnsi="方正小标宋简体" w:eastAsia="方正小标宋简体" w:cs="方正小标宋简体"/>
          <w:bCs/>
          <w:color w:val="auto"/>
          <w:kern w:val="0"/>
          <w:sz w:val="32"/>
          <w:szCs w:val="32"/>
        </w:rPr>
        <w:t>关于会计</w:t>
      </w:r>
      <w:r>
        <w:rPr>
          <w:rFonts w:hint="eastAsia" w:ascii="方正小标宋简体" w:hAnsi="方正小标宋简体" w:eastAsia="方正小标宋简体" w:cs="方正小标宋简体"/>
          <w:bCs/>
          <w:color w:val="auto"/>
          <w:kern w:val="0"/>
          <w:sz w:val="32"/>
          <w:szCs w:val="32"/>
          <w:lang w:val="en-US" w:eastAsia="zh-CN"/>
        </w:rPr>
        <w:t>估计</w:t>
      </w:r>
      <w:r>
        <w:rPr>
          <w:rFonts w:hint="eastAsia" w:ascii="方正小标宋简体" w:hAnsi="方正小标宋简体" w:eastAsia="方正小标宋简体" w:cs="方正小标宋简体"/>
          <w:bCs/>
          <w:color w:val="auto"/>
          <w:kern w:val="0"/>
          <w:sz w:val="32"/>
          <w:szCs w:val="32"/>
        </w:rPr>
        <w:t>变更的公告</w:t>
      </w:r>
    </w:p>
    <w:p>
      <w:pPr>
        <w:autoSpaceDE w:val="0"/>
        <w:autoSpaceDN w:val="0"/>
        <w:adjustRightInd w:val="0"/>
        <w:snapToGrid w:val="0"/>
        <w:spacing w:line="440" w:lineRule="exact"/>
        <w:ind w:right="360"/>
        <w:jc w:val="center"/>
        <w:rPr>
          <w:color w:val="auto"/>
          <w:sz w:val="32"/>
          <w:szCs w:val="32"/>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8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80" w:lineRule="exact"/>
              <w:ind w:firstLine="480" w:firstLineChars="200"/>
              <w:rPr>
                <w:color w:val="auto"/>
                <w:sz w:val="24"/>
                <w:szCs w:val="28"/>
              </w:rPr>
            </w:pPr>
            <w:r>
              <w:rPr>
                <w:rFonts w:hAnsi="宋体"/>
                <w:color w:val="auto"/>
                <w:sz w:val="24"/>
              </w:rPr>
              <w:t>本公司及董事会全体成员保证信息披露的内容真实、准确、完整，没有虚假记载、误导性陈述或重大遗漏</w:t>
            </w:r>
            <w:r>
              <w:rPr>
                <w:color w:val="auto"/>
                <w:kern w:val="0"/>
                <w:sz w:val="24"/>
                <w:szCs w:val="28"/>
              </w:rPr>
              <w:t>。</w:t>
            </w:r>
          </w:p>
        </w:tc>
      </w:tr>
    </w:tbl>
    <w:p>
      <w:pPr>
        <w:adjustRightInd w:val="0"/>
        <w:snapToGrid w:val="0"/>
        <w:ind w:firstLine="570"/>
        <w:rPr>
          <w:b/>
          <w:color w:val="auto"/>
          <w:sz w:val="24"/>
          <w:szCs w:val="28"/>
        </w:rPr>
      </w:pPr>
    </w:p>
    <w:p>
      <w:pPr>
        <w:autoSpaceDE w:val="0"/>
        <w:autoSpaceDN w:val="0"/>
        <w:adjustRightInd w:val="0"/>
        <w:snapToGrid w:val="0"/>
        <w:spacing w:line="380" w:lineRule="exact"/>
        <w:ind w:firstLine="482" w:firstLineChars="200"/>
        <w:outlineLvl w:val="0"/>
        <w:rPr>
          <w:b/>
          <w:bCs/>
          <w:color w:val="auto"/>
          <w:sz w:val="24"/>
        </w:rPr>
      </w:pPr>
      <w:r>
        <w:rPr>
          <w:b/>
          <w:bCs/>
          <w:color w:val="auto"/>
          <w:sz w:val="24"/>
        </w:rPr>
        <w:t>特别提示：</w:t>
      </w:r>
    </w:p>
    <w:p>
      <w:pPr>
        <w:pStyle w:val="28"/>
        <w:snapToGrid w:val="0"/>
        <w:spacing w:line="380" w:lineRule="exact"/>
        <w:ind w:firstLine="480" w:firstLineChars="200"/>
        <w:rPr>
          <w:rFonts w:ascii="Times New Roman" w:hAnsi="Times New Roman" w:cs="Times New Roman"/>
          <w:bCs/>
          <w:color w:val="auto"/>
        </w:rPr>
      </w:pPr>
      <w:r>
        <w:rPr>
          <w:rFonts w:hint="default" w:ascii="Times New Roman" w:hAnsi="Times New Roman" w:eastAsia="宋体" w:cs="Times New Roman"/>
          <w:b w:val="0"/>
          <w:bCs/>
          <w:color w:val="auto"/>
          <w:sz w:val="24"/>
          <w:szCs w:val="24"/>
          <w:highlight w:val="none"/>
        </w:rPr>
        <w:t>本次会计</w:t>
      </w:r>
      <w:r>
        <w:rPr>
          <w:rFonts w:hint="eastAsia" w:ascii="Times New Roman" w:hAnsi="Times New Roman" w:cs="Times New Roman"/>
          <w:b w:val="0"/>
          <w:bCs/>
          <w:color w:val="auto"/>
          <w:sz w:val="24"/>
          <w:szCs w:val="24"/>
          <w:highlight w:val="none"/>
          <w:lang w:val="en-US" w:eastAsia="zh-CN"/>
        </w:rPr>
        <w:t>估计</w:t>
      </w:r>
      <w:r>
        <w:rPr>
          <w:rFonts w:hint="default" w:ascii="Times New Roman" w:hAnsi="Times New Roman" w:eastAsia="宋体" w:cs="Times New Roman"/>
          <w:b w:val="0"/>
          <w:bCs/>
          <w:color w:val="auto"/>
          <w:sz w:val="24"/>
          <w:szCs w:val="24"/>
          <w:highlight w:val="none"/>
        </w:rPr>
        <w:t>变更</w:t>
      </w:r>
      <w:r>
        <w:rPr>
          <w:rFonts w:hint="eastAsia" w:ascii="Times New Roman" w:hAnsi="Times New Roman" w:eastAsia="宋体" w:cs="Times New Roman"/>
          <w:b w:val="0"/>
          <w:bCs/>
          <w:color w:val="auto"/>
          <w:sz w:val="24"/>
          <w:szCs w:val="24"/>
          <w:highlight w:val="none"/>
          <w:lang w:val="en-US" w:eastAsia="zh-CN"/>
        </w:rPr>
        <w:t>，</w:t>
      </w:r>
      <w:r>
        <w:rPr>
          <w:rFonts w:hint="eastAsia" w:ascii="Times New Roman" w:eastAsia="宋体"/>
          <w:color w:val="auto"/>
          <w:sz w:val="24"/>
          <w:szCs w:val="24"/>
        </w:rPr>
        <w:t>不会对公司2025年及以往各年度的财务状况和经营成果产生影响，预计对公司未来期间的财务状况和经营成果不会产生重大影响</w:t>
      </w:r>
      <w:bookmarkStart w:id="0" w:name="_GoBack"/>
      <w:bookmarkEnd w:id="0"/>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不存在损害公司及股东利益的情形</w:t>
      </w:r>
      <w:r>
        <w:rPr>
          <w:rFonts w:hint="eastAsia" w:ascii="Times New Roman" w:hAnsi="Times New Roman" w:cs="Times New Roman"/>
          <w:bCs/>
          <w:color w:val="auto"/>
        </w:rPr>
        <w:t>。</w:t>
      </w:r>
    </w:p>
    <w:p>
      <w:pPr>
        <w:pStyle w:val="28"/>
        <w:snapToGrid w:val="0"/>
        <w:spacing w:line="380" w:lineRule="exact"/>
        <w:ind w:firstLine="482" w:firstLineChars="200"/>
        <w:outlineLvl w:val="0"/>
        <w:rPr>
          <w:rFonts w:ascii="Times New Roman" w:hAnsi="Times New Roman" w:cs="Times New Roman"/>
          <w:b/>
          <w:color w:val="auto"/>
        </w:rPr>
      </w:pPr>
    </w:p>
    <w:p>
      <w:pPr>
        <w:pStyle w:val="28"/>
        <w:snapToGrid w:val="0"/>
        <w:spacing w:line="380" w:lineRule="exact"/>
        <w:ind w:firstLine="482" w:firstLineChars="200"/>
        <w:outlineLvl w:val="0"/>
        <w:rPr>
          <w:rFonts w:ascii="Times New Roman" w:hAnsi="Times New Roman" w:cs="Times New Roman"/>
          <w:b/>
          <w:color w:val="auto"/>
        </w:rPr>
      </w:pPr>
      <w:r>
        <w:rPr>
          <w:rFonts w:ascii="Times New Roman" w:hAnsi="Times New Roman" w:cs="Times New Roman"/>
          <w:b/>
          <w:color w:val="auto"/>
        </w:rPr>
        <w:t>一、会计</w:t>
      </w:r>
      <w:r>
        <w:rPr>
          <w:rFonts w:hint="eastAsia" w:ascii="Times New Roman" w:hAnsi="Times New Roman" w:cs="Times New Roman"/>
          <w:b/>
          <w:color w:val="auto"/>
          <w:lang w:val="en-US" w:eastAsia="zh-CN"/>
        </w:rPr>
        <w:t>估计</w:t>
      </w:r>
      <w:r>
        <w:rPr>
          <w:rFonts w:ascii="Times New Roman" w:hAnsi="Times New Roman" w:cs="Times New Roman"/>
          <w:b/>
          <w:color w:val="auto"/>
        </w:rPr>
        <w:t xml:space="preserve">变更概述 </w:t>
      </w:r>
    </w:p>
    <w:p>
      <w:pPr>
        <w:pStyle w:val="25"/>
        <w:adjustRightInd w:val="0"/>
        <w:snapToGrid w:val="0"/>
        <w:spacing w:line="380" w:lineRule="exact"/>
        <w:ind w:firstLine="480"/>
        <w:outlineLvl w:val="1"/>
        <w:rPr>
          <w:rFonts w:ascii="Times New Roman" w:eastAsia="宋体"/>
          <w:color w:val="auto"/>
          <w:sz w:val="24"/>
          <w:szCs w:val="24"/>
        </w:rPr>
      </w:pPr>
      <w:r>
        <w:rPr>
          <w:rFonts w:ascii="Times New Roman" w:eastAsia="宋体"/>
          <w:color w:val="auto"/>
          <w:sz w:val="24"/>
          <w:szCs w:val="24"/>
        </w:rPr>
        <w:t>（一）变更原因</w:t>
      </w:r>
    </w:p>
    <w:p>
      <w:pPr>
        <w:pStyle w:val="25"/>
        <w:adjustRightInd w:val="0"/>
        <w:snapToGrid w:val="0"/>
        <w:spacing w:line="380" w:lineRule="exact"/>
        <w:ind w:firstLine="480"/>
        <w:rPr>
          <w:rFonts w:ascii="Times New Roman" w:eastAsia="宋体"/>
          <w:color w:val="auto"/>
          <w:sz w:val="24"/>
          <w:szCs w:val="24"/>
        </w:rPr>
      </w:pPr>
      <w:r>
        <w:rPr>
          <w:rFonts w:hint="eastAsia" w:ascii="Times New Roman" w:eastAsia="宋体"/>
          <w:color w:val="auto"/>
          <w:sz w:val="24"/>
          <w:szCs w:val="24"/>
        </w:rPr>
        <w:t>根据财政部、国家税务总局等11个部门联合发布的《关于企业职工教育经费提取与使用管理的意见》（财建〔2006〕317号）的有关规定，一般企业按照职工工资总额的1.5%足额提取教育培训经费，从业人员技术要求高、培训任务重、经济效益较好的企业，可按2.5%提取，列入成本开支。</w:t>
      </w:r>
      <w:r>
        <w:rPr>
          <w:rFonts w:hint="eastAsia" w:ascii="Times New Roman" w:eastAsia="宋体"/>
          <w:color w:val="auto"/>
          <w:sz w:val="24"/>
          <w:szCs w:val="24"/>
          <w:lang w:eastAsia="zh-CN"/>
        </w:rPr>
        <w:t>考虑</w:t>
      </w:r>
      <w:r>
        <w:rPr>
          <w:rFonts w:hint="eastAsia" w:ascii="Times New Roman" w:eastAsia="宋体"/>
          <w:color w:val="auto"/>
          <w:sz w:val="24"/>
          <w:szCs w:val="24"/>
        </w:rPr>
        <w:t>已计提未使用的职工教育经费</w:t>
      </w:r>
      <w:r>
        <w:rPr>
          <w:rFonts w:hint="eastAsia" w:ascii="Times New Roman" w:eastAsia="宋体"/>
          <w:color w:val="auto"/>
          <w:sz w:val="24"/>
          <w:szCs w:val="24"/>
          <w:lang w:eastAsia="zh-CN"/>
        </w:rPr>
        <w:t>尚有</w:t>
      </w:r>
      <w:r>
        <w:rPr>
          <w:rFonts w:hint="eastAsia" w:ascii="Times New Roman" w:eastAsia="宋体"/>
          <w:color w:val="auto"/>
          <w:sz w:val="24"/>
          <w:szCs w:val="24"/>
        </w:rPr>
        <w:t>结余，结合公司实际经营管理情况，公司拟将职工教育经费的计提比例由工资总额的2.5%调至1.5%。</w:t>
      </w:r>
    </w:p>
    <w:p>
      <w:pPr>
        <w:pStyle w:val="25"/>
        <w:numPr>
          <w:ilvl w:val="0"/>
          <w:numId w:val="1"/>
        </w:numPr>
        <w:adjustRightInd w:val="0"/>
        <w:snapToGrid w:val="0"/>
        <w:spacing w:line="380" w:lineRule="exact"/>
        <w:ind w:firstLine="480"/>
        <w:outlineLvl w:val="1"/>
        <w:rPr>
          <w:rFonts w:ascii="Times New Roman" w:eastAsia="宋体"/>
          <w:color w:val="auto"/>
          <w:sz w:val="24"/>
          <w:szCs w:val="24"/>
        </w:rPr>
      </w:pPr>
      <w:r>
        <w:rPr>
          <w:rFonts w:ascii="Times New Roman" w:eastAsia="宋体"/>
          <w:color w:val="auto"/>
          <w:sz w:val="24"/>
          <w:szCs w:val="24"/>
        </w:rPr>
        <w:t>变更的适用日期</w:t>
      </w:r>
    </w:p>
    <w:p>
      <w:pPr>
        <w:pStyle w:val="25"/>
        <w:adjustRightInd w:val="0"/>
        <w:snapToGrid w:val="0"/>
        <w:spacing w:line="380" w:lineRule="exact"/>
        <w:ind w:firstLine="480"/>
        <w:rPr>
          <w:rFonts w:hint="eastAsia" w:ascii="Times New Roman" w:eastAsia="宋体"/>
          <w:color w:val="auto"/>
          <w:sz w:val="24"/>
          <w:szCs w:val="24"/>
        </w:rPr>
      </w:pPr>
      <w:r>
        <w:rPr>
          <w:rFonts w:ascii="Times New Roman" w:eastAsia="宋体"/>
          <w:color w:val="auto"/>
          <w:sz w:val="24"/>
          <w:szCs w:val="24"/>
        </w:rPr>
        <w:t>执行日期：202</w:t>
      </w:r>
      <w:r>
        <w:rPr>
          <w:rFonts w:hint="eastAsia" w:ascii="Times New Roman" w:eastAsia="宋体"/>
          <w:color w:val="auto"/>
          <w:sz w:val="24"/>
          <w:szCs w:val="24"/>
          <w:lang w:val="en-US" w:eastAsia="zh-CN"/>
        </w:rPr>
        <w:t>6</w:t>
      </w:r>
      <w:r>
        <w:rPr>
          <w:rFonts w:ascii="Times New Roman" w:eastAsia="宋体"/>
          <w:color w:val="auto"/>
          <w:sz w:val="24"/>
          <w:szCs w:val="24"/>
        </w:rPr>
        <w:t>年1月1日</w:t>
      </w:r>
      <w:r>
        <w:rPr>
          <w:rFonts w:hint="eastAsia" w:ascii="Times New Roman" w:eastAsia="宋体"/>
          <w:color w:val="auto"/>
          <w:sz w:val="24"/>
          <w:szCs w:val="24"/>
        </w:rPr>
        <w:t>。</w:t>
      </w:r>
    </w:p>
    <w:p>
      <w:pPr>
        <w:pStyle w:val="25"/>
        <w:numPr>
          <w:ilvl w:val="0"/>
          <w:numId w:val="1"/>
        </w:numPr>
        <w:adjustRightInd w:val="0"/>
        <w:snapToGrid w:val="0"/>
        <w:spacing w:line="380" w:lineRule="exact"/>
        <w:ind w:firstLine="480"/>
        <w:outlineLvl w:val="1"/>
        <w:rPr>
          <w:rFonts w:ascii="Times New Roman" w:eastAsia="宋体"/>
          <w:color w:val="auto"/>
          <w:sz w:val="24"/>
          <w:szCs w:val="24"/>
          <w:highlight w:val="none"/>
        </w:rPr>
      </w:pPr>
      <w:r>
        <w:rPr>
          <w:rFonts w:ascii="Times New Roman" w:eastAsia="宋体"/>
          <w:color w:val="auto"/>
          <w:sz w:val="24"/>
          <w:szCs w:val="24"/>
          <w:highlight w:val="none"/>
        </w:rPr>
        <w:t>变更前采用的会计</w:t>
      </w:r>
      <w:r>
        <w:rPr>
          <w:rFonts w:hint="eastAsia" w:ascii="Times New Roman" w:eastAsia="宋体"/>
          <w:color w:val="auto"/>
          <w:sz w:val="24"/>
          <w:szCs w:val="24"/>
          <w:highlight w:val="none"/>
          <w:lang w:val="en-US" w:eastAsia="zh-CN"/>
        </w:rPr>
        <w:t>估计</w:t>
      </w:r>
    </w:p>
    <w:p>
      <w:pPr>
        <w:pStyle w:val="25"/>
        <w:adjustRightInd w:val="0"/>
        <w:snapToGrid w:val="0"/>
        <w:spacing w:line="380" w:lineRule="exact"/>
        <w:ind w:firstLine="480"/>
        <w:rPr>
          <w:rFonts w:ascii="Times New Roman" w:eastAsia="宋体"/>
          <w:color w:val="auto"/>
          <w:sz w:val="24"/>
          <w:szCs w:val="24"/>
          <w:highlight w:val="none"/>
        </w:rPr>
      </w:pPr>
      <w:r>
        <w:rPr>
          <w:rFonts w:hint="eastAsia" w:ascii="Times New Roman" w:eastAsia="宋体"/>
          <w:color w:val="auto"/>
          <w:sz w:val="24"/>
          <w:szCs w:val="24"/>
          <w:highlight w:val="none"/>
        </w:rPr>
        <w:t>本次会计</w:t>
      </w:r>
      <w:r>
        <w:rPr>
          <w:rFonts w:hint="eastAsia" w:ascii="Times New Roman" w:eastAsia="宋体"/>
          <w:color w:val="auto"/>
          <w:sz w:val="24"/>
          <w:szCs w:val="24"/>
          <w:highlight w:val="none"/>
          <w:lang w:eastAsia="zh-CN"/>
        </w:rPr>
        <w:t>估计</w:t>
      </w:r>
      <w:r>
        <w:rPr>
          <w:rFonts w:hint="eastAsia" w:ascii="Times New Roman" w:eastAsia="宋体"/>
          <w:color w:val="auto"/>
          <w:sz w:val="24"/>
          <w:szCs w:val="24"/>
          <w:highlight w:val="none"/>
        </w:rPr>
        <w:t>变更前，公司按照当年职工工资总额的2.5%计提职工教育经费。</w:t>
      </w:r>
    </w:p>
    <w:p>
      <w:pPr>
        <w:pStyle w:val="25"/>
        <w:numPr>
          <w:ilvl w:val="0"/>
          <w:numId w:val="1"/>
        </w:numPr>
        <w:adjustRightInd w:val="0"/>
        <w:snapToGrid w:val="0"/>
        <w:spacing w:line="380" w:lineRule="exact"/>
        <w:ind w:firstLine="480"/>
        <w:outlineLvl w:val="1"/>
        <w:rPr>
          <w:rFonts w:ascii="Times New Roman" w:eastAsia="宋体"/>
          <w:color w:val="auto"/>
          <w:sz w:val="24"/>
          <w:szCs w:val="24"/>
          <w:highlight w:val="none"/>
        </w:rPr>
      </w:pPr>
      <w:r>
        <w:rPr>
          <w:rFonts w:ascii="Times New Roman" w:eastAsia="宋体"/>
          <w:color w:val="auto"/>
          <w:sz w:val="24"/>
          <w:szCs w:val="24"/>
          <w:highlight w:val="none"/>
        </w:rPr>
        <w:t>变更后采用的会计</w:t>
      </w:r>
      <w:r>
        <w:rPr>
          <w:rFonts w:hint="eastAsia" w:ascii="Times New Roman" w:eastAsia="宋体"/>
          <w:color w:val="auto"/>
          <w:sz w:val="24"/>
          <w:szCs w:val="24"/>
          <w:highlight w:val="none"/>
          <w:lang w:val="en-US" w:eastAsia="zh-CN"/>
        </w:rPr>
        <w:t>估计</w:t>
      </w:r>
    </w:p>
    <w:p>
      <w:pPr>
        <w:pStyle w:val="25"/>
        <w:adjustRightInd w:val="0"/>
        <w:snapToGrid w:val="0"/>
        <w:spacing w:line="380" w:lineRule="exact"/>
        <w:ind w:firstLine="480"/>
        <w:rPr>
          <w:rFonts w:hint="eastAsia" w:ascii="Times New Roman" w:eastAsia="宋体"/>
          <w:color w:val="auto"/>
          <w:sz w:val="24"/>
          <w:szCs w:val="24"/>
          <w:highlight w:val="none"/>
        </w:rPr>
      </w:pPr>
      <w:r>
        <w:rPr>
          <w:rFonts w:hint="eastAsia" w:ascii="Times New Roman" w:eastAsia="宋体"/>
          <w:color w:val="auto"/>
          <w:sz w:val="24"/>
          <w:szCs w:val="24"/>
          <w:highlight w:val="none"/>
        </w:rPr>
        <w:t>本次会计估计变更后，公司及所属各单位按职工工资总额的1.5%计提职工教育经费，当年计提金额不足使用时，优先使用结余，无结余时按不超过职工工资总额8%的比例据实列支。</w:t>
      </w:r>
    </w:p>
    <w:p>
      <w:pPr>
        <w:pStyle w:val="28"/>
        <w:snapToGrid w:val="0"/>
        <w:spacing w:line="380" w:lineRule="exact"/>
        <w:ind w:firstLine="482" w:firstLineChars="200"/>
        <w:outlineLvl w:val="0"/>
        <w:rPr>
          <w:rFonts w:ascii="Times New Roman" w:hAnsi="Times New Roman" w:cs="Times New Roman"/>
          <w:b/>
          <w:color w:val="auto"/>
        </w:rPr>
      </w:pPr>
      <w:r>
        <w:rPr>
          <w:rFonts w:ascii="Times New Roman" w:hAnsi="Times New Roman" w:cs="Times New Roman"/>
          <w:b/>
          <w:color w:val="auto"/>
        </w:rPr>
        <w:t>二、会计</w:t>
      </w:r>
      <w:r>
        <w:rPr>
          <w:rFonts w:hint="eastAsia" w:ascii="Times New Roman" w:hAnsi="Times New Roman" w:cs="Times New Roman"/>
          <w:b/>
          <w:color w:val="auto"/>
          <w:lang w:val="en-US" w:eastAsia="zh-CN"/>
        </w:rPr>
        <w:t>估计</w:t>
      </w:r>
      <w:r>
        <w:rPr>
          <w:rFonts w:ascii="Times New Roman" w:hAnsi="Times New Roman" w:cs="Times New Roman"/>
          <w:b/>
          <w:color w:val="auto"/>
        </w:rPr>
        <w:t>变更对公司的影响</w:t>
      </w:r>
    </w:p>
    <w:p>
      <w:pPr>
        <w:pStyle w:val="25"/>
        <w:adjustRightInd w:val="0"/>
        <w:snapToGrid w:val="0"/>
        <w:spacing w:line="380" w:lineRule="exact"/>
        <w:ind w:firstLine="480" w:firstLineChars="200"/>
        <w:rPr>
          <w:rFonts w:hint="eastAsia" w:ascii="Times New Roman" w:eastAsia="宋体"/>
          <w:color w:val="auto"/>
          <w:sz w:val="24"/>
          <w:szCs w:val="24"/>
        </w:rPr>
      </w:pPr>
      <w:r>
        <w:rPr>
          <w:rFonts w:hint="eastAsia" w:ascii="Times New Roman" w:eastAsia="宋体"/>
          <w:color w:val="auto"/>
          <w:sz w:val="24"/>
          <w:szCs w:val="24"/>
        </w:rPr>
        <w:t>根据《企业会计准则第28号——会计政策、会计估计变更和差错更正》的相关规定，公司对于本次会计估计变更事项采用未来适用法，无需对公司已披露的财务报表进行追溯调整。本次会计估计变更自2026年1月1日起实施，不会对公司2025年及以往各年度的财务状况和经营成果产生影响，预计对公司未来期间的财务状况和经营成果不会产生重大影响。</w:t>
      </w:r>
    </w:p>
    <w:p>
      <w:pPr>
        <w:pStyle w:val="25"/>
        <w:adjustRightInd w:val="0"/>
        <w:snapToGrid w:val="0"/>
        <w:spacing w:line="380" w:lineRule="exact"/>
        <w:ind w:firstLine="480" w:firstLineChars="200"/>
        <w:rPr>
          <w:rFonts w:ascii="Times New Roman" w:eastAsia="宋体"/>
          <w:color w:val="auto"/>
          <w:sz w:val="24"/>
          <w:szCs w:val="24"/>
        </w:rPr>
      </w:pPr>
      <w:r>
        <w:rPr>
          <w:rFonts w:hint="eastAsia" w:ascii="Times New Roman" w:eastAsia="宋体"/>
          <w:color w:val="auto"/>
          <w:sz w:val="24"/>
          <w:szCs w:val="24"/>
          <w:lang w:val="en-US" w:eastAsia="zh-CN"/>
        </w:rPr>
        <w:t>本次</w:t>
      </w:r>
      <w:r>
        <w:rPr>
          <w:rFonts w:hint="eastAsia" w:ascii="Times New Roman" w:eastAsia="宋体"/>
          <w:color w:val="auto"/>
          <w:sz w:val="24"/>
          <w:szCs w:val="24"/>
        </w:rPr>
        <w:t>会计估计变更日前，假设2024年度运用新的会计估计，将增加</w:t>
      </w:r>
      <w:r>
        <w:rPr>
          <w:rFonts w:hint="eastAsia" w:ascii="Times New Roman" w:eastAsia="宋体"/>
          <w:color w:val="auto"/>
          <w:sz w:val="24"/>
          <w:szCs w:val="24"/>
          <w:lang w:val="en-US" w:eastAsia="zh-CN"/>
        </w:rPr>
        <w:t>公司</w:t>
      </w:r>
      <w:r>
        <w:rPr>
          <w:rFonts w:hint="eastAsia" w:ascii="Times New Roman" w:eastAsia="宋体"/>
          <w:color w:val="auto"/>
          <w:sz w:val="24"/>
          <w:szCs w:val="24"/>
        </w:rPr>
        <w:t>2024年度归属于母公司股东的净利润813.18万元。</w:t>
      </w:r>
    </w:p>
    <w:p>
      <w:pPr>
        <w:pStyle w:val="25"/>
        <w:adjustRightInd w:val="0"/>
        <w:snapToGrid w:val="0"/>
        <w:spacing w:line="380" w:lineRule="exact"/>
        <w:ind w:firstLine="482"/>
        <w:outlineLvl w:val="0"/>
        <w:rPr>
          <w:rFonts w:ascii="Times New Roman" w:eastAsia="宋体"/>
          <w:b/>
          <w:color w:val="auto"/>
          <w:sz w:val="24"/>
          <w:szCs w:val="24"/>
        </w:rPr>
      </w:pPr>
      <w:r>
        <w:rPr>
          <w:rFonts w:ascii="Times New Roman" w:eastAsia="宋体"/>
          <w:b/>
          <w:color w:val="auto"/>
          <w:sz w:val="24"/>
          <w:szCs w:val="24"/>
        </w:rPr>
        <w:t>三、</w:t>
      </w:r>
      <w:r>
        <w:rPr>
          <w:rFonts w:hint="eastAsia" w:ascii="Times New Roman" w:eastAsia="宋体"/>
          <w:b/>
          <w:color w:val="auto"/>
          <w:sz w:val="24"/>
          <w:szCs w:val="24"/>
        </w:rPr>
        <w:t>审计与风险委员会</w:t>
      </w:r>
      <w:r>
        <w:rPr>
          <w:rFonts w:hint="eastAsia" w:ascii="Times New Roman" w:eastAsia="宋体"/>
          <w:b/>
          <w:color w:val="auto"/>
          <w:sz w:val="24"/>
          <w:szCs w:val="24"/>
          <w:lang w:val="en-US" w:eastAsia="zh-CN"/>
        </w:rPr>
        <w:t>审议</w:t>
      </w:r>
      <w:r>
        <w:rPr>
          <w:rFonts w:ascii="Times New Roman" w:eastAsia="宋体"/>
          <w:b/>
          <w:color w:val="auto"/>
          <w:sz w:val="24"/>
          <w:szCs w:val="24"/>
        </w:rPr>
        <w:t>意见</w:t>
      </w:r>
    </w:p>
    <w:p>
      <w:pPr>
        <w:pStyle w:val="25"/>
        <w:adjustRightInd w:val="0"/>
        <w:snapToGrid w:val="0"/>
        <w:spacing w:line="380" w:lineRule="exact"/>
        <w:ind w:firstLine="482"/>
        <w:outlineLvl w:val="0"/>
        <w:rPr>
          <w:rFonts w:hint="eastAsia" w:ascii="Times New Roman" w:eastAsia="宋体"/>
          <w:b/>
          <w:color w:val="auto"/>
          <w:sz w:val="24"/>
          <w:szCs w:val="24"/>
          <w:lang w:val="en-US" w:eastAsia="zh-CN"/>
        </w:rPr>
      </w:pPr>
      <w:r>
        <w:rPr>
          <w:rFonts w:ascii="Times New Roman" w:eastAsia="宋体"/>
          <w:color w:val="auto"/>
          <w:sz w:val="24"/>
          <w:szCs w:val="24"/>
          <w:highlight w:val="none"/>
        </w:rPr>
        <w:t>本次会计</w:t>
      </w:r>
      <w:r>
        <w:rPr>
          <w:rFonts w:hint="eastAsia" w:ascii="Times New Roman" w:eastAsia="宋体"/>
          <w:color w:val="auto"/>
          <w:sz w:val="24"/>
          <w:szCs w:val="24"/>
          <w:highlight w:val="none"/>
          <w:lang w:val="en-US" w:eastAsia="zh-CN"/>
        </w:rPr>
        <w:t>估计</w:t>
      </w:r>
      <w:r>
        <w:rPr>
          <w:rFonts w:ascii="Times New Roman" w:eastAsia="宋体"/>
          <w:color w:val="auto"/>
          <w:sz w:val="24"/>
          <w:szCs w:val="24"/>
          <w:highlight w:val="none"/>
        </w:rPr>
        <w:t>变更所涉议案已经公司</w:t>
      </w:r>
      <w:r>
        <w:rPr>
          <w:rFonts w:hint="eastAsia" w:ascii="Times New Roman" w:eastAsia="宋体"/>
          <w:color w:val="auto"/>
          <w:sz w:val="24"/>
          <w:szCs w:val="24"/>
          <w:highlight w:val="none"/>
        </w:rPr>
        <w:t>2025年12月22日</w:t>
      </w:r>
      <w:r>
        <w:rPr>
          <w:rFonts w:ascii="Times New Roman" w:eastAsia="宋体"/>
          <w:color w:val="auto"/>
          <w:sz w:val="24"/>
          <w:szCs w:val="24"/>
          <w:highlight w:val="none"/>
        </w:rPr>
        <w:t>召开的</w:t>
      </w:r>
      <w:r>
        <w:rPr>
          <w:rFonts w:hint="eastAsia" w:ascii="Times New Roman" w:eastAsia="宋体"/>
          <w:color w:val="auto"/>
          <w:sz w:val="24"/>
          <w:szCs w:val="24"/>
          <w:highlight w:val="none"/>
        </w:rPr>
        <w:t>董事会审计与风险委员会2025年第八次会议</w:t>
      </w:r>
      <w:r>
        <w:rPr>
          <w:rFonts w:ascii="Times New Roman" w:eastAsia="宋体"/>
          <w:color w:val="auto"/>
          <w:sz w:val="24"/>
          <w:szCs w:val="24"/>
          <w:highlight w:val="none"/>
        </w:rPr>
        <w:t>以</w:t>
      </w:r>
      <w:r>
        <w:rPr>
          <w:rFonts w:hint="eastAsia" w:ascii="Times New Roman" w:eastAsia="宋体"/>
          <w:color w:val="auto"/>
          <w:sz w:val="24"/>
          <w:szCs w:val="24"/>
          <w:highlight w:val="none"/>
          <w:lang w:val="en-US" w:eastAsia="zh-CN"/>
        </w:rPr>
        <w:t>3</w:t>
      </w:r>
      <w:r>
        <w:rPr>
          <w:rFonts w:ascii="Times New Roman" w:eastAsia="宋体"/>
          <w:color w:val="auto"/>
          <w:sz w:val="24"/>
          <w:szCs w:val="24"/>
          <w:highlight w:val="none"/>
        </w:rPr>
        <w:t>票同意、0票反对、0票弃权审议通过</w:t>
      </w:r>
      <w:r>
        <w:rPr>
          <w:rFonts w:hint="eastAsia" w:ascii="Times New Roman" w:eastAsia="宋体"/>
          <w:color w:val="auto"/>
          <w:sz w:val="24"/>
          <w:szCs w:val="24"/>
          <w:highlight w:val="none"/>
          <w:lang w:eastAsia="zh-CN"/>
        </w:rPr>
        <w:t>。审议意见如下：</w:t>
      </w:r>
    </w:p>
    <w:p>
      <w:pPr>
        <w:pStyle w:val="25"/>
        <w:adjustRightInd w:val="0"/>
        <w:snapToGrid w:val="0"/>
        <w:spacing w:line="380" w:lineRule="exact"/>
        <w:ind w:firstLine="480"/>
        <w:rPr>
          <w:rFonts w:ascii="Times New Roman" w:eastAsia="宋体"/>
          <w:color w:val="auto"/>
          <w:sz w:val="24"/>
          <w:szCs w:val="24"/>
          <w:highlight w:val="yellow"/>
        </w:rPr>
      </w:pPr>
      <w:r>
        <w:rPr>
          <w:rFonts w:hint="eastAsia" w:ascii="Times New Roman" w:eastAsia="宋体"/>
          <w:color w:val="auto"/>
          <w:sz w:val="24"/>
          <w:szCs w:val="24"/>
          <w:highlight w:val="none"/>
        </w:rPr>
        <w:t>本次会计估计变更是依据企业会计准则等相关规定并结合公司实际经营管理情况做出的合理变更，变更后的会计</w:t>
      </w:r>
      <w:r>
        <w:rPr>
          <w:rFonts w:hint="eastAsia" w:ascii="Times New Roman" w:eastAsia="宋体"/>
          <w:color w:val="auto"/>
          <w:sz w:val="24"/>
          <w:szCs w:val="24"/>
          <w:highlight w:val="none"/>
          <w:lang w:eastAsia="zh-CN"/>
        </w:rPr>
        <w:t>估计</w:t>
      </w:r>
      <w:r>
        <w:rPr>
          <w:rFonts w:hint="eastAsia" w:ascii="Times New Roman" w:eastAsia="宋体"/>
          <w:color w:val="auto"/>
          <w:sz w:val="24"/>
          <w:szCs w:val="24"/>
          <w:highlight w:val="none"/>
        </w:rPr>
        <w:t>能够客观、公允地反映公司的财务状况和经营成果，</w:t>
      </w:r>
      <w:r>
        <w:rPr>
          <w:rFonts w:hint="eastAsia" w:ascii="Times New Roman" w:eastAsia="宋体"/>
          <w:color w:val="auto"/>
          <w:sz w:val="24"/>
          <w:szCs w:val="24"/>
        </w:rPr>
        <w:t>不会对公司2025年及以往各年度的财务状况和经营成果产生影响，预计对公司未来期间的财务状况和经营成果不会产生重大影响</w:t>
      </w:r>
      <w:r>
        <w:rPr>
          <w:rFonts w:hint="eastAsia" w:ascii="Times New Roman" w:eastAsia="宋体"/>
          <w:color w:val="auto"/>
          <w:sz w:val="24"/>
          <w:szCs w:val="24"/>
          <w:highlight w:val="none"/>
        </w:rPr>
        <w:t>，不会损害公司、股东特别是中小股东的利益。</w:t>
      </w:r>
    </w:p>
    <w:p>
      <w:pPr>
        <w:pStyle w:val="25"/>
        <w:adjustRightInd w:val="0"/>
        <w:snapToGrid w:val="0"/>
        <w:spacing w:line="380" w:lineRule="exact"/>
        <w:ind w:firstLine="482"/>
        <w:outlineLvl w:val="0"/>
        <w:rPr>
          <w:rFonts w:ascii="Times New Roman" w:eastAsia="宋体"/>
          <w:b/>
          <w:color w:val="auto"/>
          <w:sz w:val="24"/>
          <w:szCs w:val="24"/>
        </w:rPr>
      </w:pPr>
      <w:r>
        <w:rPr>
          <w:rFonts w:hint="eastAsia" w:ascii="Times New Roman" w:eastAsia="宋体"/>
          <w:b/>
          <w:color w:val="auto"/>
          <w:sz w:val="24"/>
          <w:szCs w:val="24"/>
          <w:lang w:val="en-US" w:eastAsia="zh-CN"/>
        </w:rPr>
        <w:t>四</w:t>
      </w:r>
      <w:r>
        <w:rPr>
          <w:rFonts w:ascii="Times New Roman" w:eastAsia="宋体"/>
          <w:b/>
          <w:color w:val="auto"/>
          <w:sz w:val="24"/>
          <w:szCs w:val="24"/>
        </w:rPr>
        <w:t>、董事会</w:t>
      </w:r>
      <w:r>
        <w:rPr>
          <w:rFonts w:hint="eastAsia" w:ascii="Times New Roman" w:eastAsia="宋体"/>
          <w:b/>
          <w:color w:val="auto"/>
          <w:sz w:val="24"/>
          <w:szCs w:val="24"/>
          <w:lang w:val="en-US" w:eastAsia="zh-CN"/>
        </w:rPr>
        <w:t>审议</w:t>
      </w:r>
      <w:r>
        <w:rPr>
          <w:rFonts w:ascii="Times New Roman" w:eastAsia="宋体"/>
          <w:b/>
          <w:color w:val="auto"/>
          <w:sz w:val="24"/>
          <w:szCs w:val="24"/>
        </w:rPr>
        <w:t>意见</w:t>
      </w:r>
    </w:p>
    <w:p>
      <w:pPr>
        <w:pStyle w:val="25"/>
        <w:adjustRightInd w:val="0"/>
        <w:snapToGrid w:val="0"/>
        <w:spacing w:line="380" w:lineRule="exact"/>
        <w:ind w:firstLine="480"/>
        <w:rPr>
          <w:rFonts w:ascii="Times New Roman" w:eastAsia="宋体"/>
          <w:color w:val="auto"/>
          <w:sz w:val="24"/>
          <w:szCs w:val="24"/>
          <w:highlight w:val="yellow"/>
        </w:rPr>
      </w:pPr>
      <w:r>
        <w:rPr>
          <w:rFonts w:ascii="Times New Roman" w:eastAsia="宋体"/>
          <w:color w:val="auto"/>
          <w:sz w:val="24"/>
          <w:szCs w:val="24"/>
          <w:highlight w:val="none"/>
        </w:rPr>
        <w:t>本次会计</w:t>
      </w:r>
      <w:r>
        <w:rPr>
          <w:rFonts w:hint="eastAsia" w:ascii="Times New Roman" w:eastAsia="宋体"/>
          <w:color w:val="auto"/>
          <w:sz w:val="24"/>
          <w:szCs w:val="24"/>
          <w:highlight w:val="none"/>
          <w:lang w:val="en-US" w:eastAsia="zh-CN"/>
        </w:rPr>
        <w:t>估计</w:t>
      </w:r>
      <w:r>
        <w:rPr>
          <w:rFonts w:ascii="Times New Roman" w:eastAsia="宋体"/>
          <w:color w:val="auto"/>
          <w:sz w:val="24"/>
          <w:szCs w:val="24"/>
          <w:highlight w:val="none"/>
        </w:rPr>
        <w:t>变更所涉议案已经公司202</w:t>
      </w:r>
      <w:r>
        <w:rPr>
          <w:rFonts w:hint="eastAsia" w:ascii="Times New Roman" w:eastAsia="宋体"/>
          <w:color w:val="auto"/>
          <w:sz w:val="24"/>
          <w:szCs w:val="24"/>
          <w:highlight w:val="none"/>
          <w:lang w:val="en-US" w:eastAsia="zh-CN"/>
        </w:rPr>
        <w:t>5</w:t>
      </w:r>
      <w:r>
        <w:rPr>
          <w:rFonts w:ascii="Times New Roman" w:eastAsia="宋体"/>
          <w:color w:val="auto"/>
          <w:sz w:val="24"/>
          <w:szCs w:val="24"/>
          <w:highlight w:val="none"/>
        </w:rPr>
        <w:t>年</w:t>
      </w:r>
      <w:r>
        <w:rPr>
          <w:rFonts w:hint="eastAsia" w:ascii="Times New Roman" w:eastAsia="宋体"/>
          <w:color w:val="auto"/>
          <w:sz w:val="24"/>
          <w:szCs w:val="24"/>
          <w:highlight w:val="none"/>
          <w:lang w:val="en-US" w:eastAsia="zh-CN"/>
        </w:rPr>
        <w:t>12</w:t>
      </w:r>
      <w:r>
        <w:rPr>
          <w:rFonts w:ascii="Times New Roman" w:eastAsia="宋体"/>
          <w:color w:val="auto"/>
          <w:sz w:val="24"/>
          <w:szCs w:val="24"/>
          <w:highlight w:val="none"/>
        </w:rPr>
        <w:t>月</w:t>
      </w:r>
      <w:r>
        <w:rPr>
          <w:rFonts w:hint="eastAsia" w:ascii="Times New Roman" w:eastAsia="宋体"/>
          <w:color w:val="auto"/>
          <w:sz w:val="24"/>
          <w:szCs w:val="24"/>
          <w:highlight w:val="none"/>
          <w:lang w:val="en-US" w:eastAsia="zh-CN"/>
        </w:rPr>
        <w:t>22</w:t>
      </w:r>
      <w:r>
        <w:rPr>
          <w:rFonts w:ascii="Times New Roman" w:eastAsia="宋体"/>
          <w:color w:val="auto"/>
          <w:sz w:val="24"/>
          <w:szCs w:val="24"/>
          <w:highlight w:val="none"/>
        </w:rPr>
        <w:t>日召开的第十</w:t>
      </w:r>
      <w:r>
        <w:rPr>
          <w:rFonts w:hint="eastAsia" w:ascii="Times New Roman" w:eastAsia="宋体"/>
          <w:color w:val="auto"/>
          <w:sz w:val="24"/>
          <w:szCs w:val="24"/>
          <w:highlight w:val="none"/>
          <w:lang w:val="en-US" w:eastAsia="zh-CN"/>
        </w:rPr>
        <w:t>一</w:t>
      </w:r>
      <w:r>
        <w:rPr>
          <w:rFonts w:ascii="Times New Roman" w:eastAsia="宋体"/>
          <w:color w:val="auto"/>
          <w:sz w:val="24"/>
          <w:szCs w:val="24"/>
          <w:highlight w:val="none"/>
        </w:rPr>
        <w:t>届董事会第</w:t>
      </w:r>
      <w:r>
        <w:rPr>
          <w:rFonts w:hint="eastAsia" w:ascii="Times New Roman" w:eastAsia="宋体"/>
          <w:color w:val="auto"/>
          <w:sz w:val="24"/>
          <w:szCs w:val="24"/>
          <w:highlight w:val="none"/>
          <w:lang w:val="en-US" w:eastAsia="zh-CN"/>
        </w:rPr>
        <w:t>三</w:t>
      </w:r>
      <w:r>
        <w:rPr>
          <w:rFonts w:ascii="Times New Roman" w:eastAsia="宋体"/>
          <w:color w:val="auto"/>
          <w:sz w:val="24"/>
          <w:szCs w:val="24"/>
          <w:highlight w:val="none"/>
        </w:rPr>
        <w:t>次会议以</w:t>
      </w:r>
      <w:r>
        <w:rPr>
          <w:rFonts w:hint="eastAsia" w:ascii="Times New Roman" w:eastAsia="宋体"/>
          <w:color w:val="auto"/>
          <w:sz w:val="24"/>
          <w:szCs w:val="24"/>
          <w:highlight w:val="none"/>
          <w:lang w:val="en-US" w:eastAsia="zh-CN"/>
        </w:rPr>
        <w:t>9</w:t>
      </w:r>
      <w:r>
        <w:rPr>
          <w:rFonts w:ascii="Times New Roman" w:eastAsia="宋体"/>
          <w:color w:val="auto"/>
          <w:sz w:val="24"/>
          <w:szCs w:val="24"/>
          <w:highlight w:val="none"/>
        </w:rPr>
        <w:t>票同意、0票反对、0票弃权审议通过。</w:t>
      </w:r>
    </w:p>
    <w:p>
      <w:pPr>
        <w:pStyle w:val="25"/>
        <w:adjustRightInd w:val="0"/>
        <w:snapToGrid w:val="0"/>
        <w:spacing w:line="380" w:lineRule="exact"/>
        <w:ind w:firstLine="480"/>
        <w:rPr>
          <w:rFonts w:ascii="Times New Roman" w:eastAsia="宋体"/>
          <w:color w:val="auto"/>
          <w:sz w:val="24"/>
          <w:szCs w:val="24"/>
          <w:highlight w:val="none"/>
        </w:rPr>
      </w:pPr>
      <w:r>
        <w:rPr>
          <w:rFonts w:ascii="Times New Roman" w:eastAsia="宋体"/>
          <w:color w:val="auto"/>
          <w:sz w:val="24"/>
          <w:szCs w:val="24"/>
          <w:highlight w:val="none"/>
        </w:rPr>
        <w:t>董事会同意</w:t>
      </w:r>
      <w:r>
        <w:rPr>
          <w:rFonts w:hint="eastAsia" w:ascii="Times New Roman" w:eastAsia="宋体"/>
          <w:color w:val="auto"/>
          <w:sz w:val="24"/>
          <w:szCs w:val="24"/>
          <w:highlight w:val="none"/>
        </w:rPr>
        <w:t>公司根据《关于企业职工教育经费提取与使用管理的意见》（财建〔2006〕317号）</w:t>
      </w:r>
      <w:r>
        <w:rPr>
          <w:rFonts w:hint="eastAsia" w:ascii="Times New Roman" w:eastAsia="宋体"/>
          <w:color w:val="auto"/>
          <w:sz w:val="24"/>
          <w:szCs w:val="24"/>
          <w:highlight w:val="none"/>
          <w:lang w:val="en-US" w:eastAsia="zh-CN"/>
        </w:rPr>
        <w:t>的有关规定</w:t>
      </w:r>
      <w:r>
        <w:rPr>
          <w:rFonts w:hint="eastAsia" w:ascii="Times New Roman" w:eastAsia="宋体"/>
          <w:color w:val="auto"/>
          <w:sz w:val="24"/>
          <w:szCs w:val="24"/>
          <w:highlight w:val="none"/>
        </w:rPr>
        <w:t>，自202</w:t>
      </w:r>
      <w:r>
        <w:rPr>
          <w:rFonts w:hint="eastAsia" w:ascii="Times New Roman" w:eastAsia="宋体"/>
          <w:color w:val="auto"/>
          <w:sz w:val="24"/>
          <w:szCs w:val="24"/>
          <w:highlight w:val="none"/>
          <w:lang w:val="en-US" w:eastAsia="zh-CN"/>
        </w:rPr>
        <w:t>6</w:t>
      </w:r>
      <w:r>
        <w:rPr>
          <w:rFonts w:hint="eastAsia" w:ascii="Times New Roman" w:eastAsia="宋体"/>
          <w:color w:val="auto"/>
          <w:sz w:val="24"/>
          <w:szCs w:val="24"/>
          <w:highlight w:val="none"/>
        </w:rPr>
        <w:t>年1月1日起，将职工教育经费的计提比例由工资总额的2.5%调至1.5%。本次会计</w:t>
      </w:r>
      <w:r>
        <w:rPr>
          <w:rFonts w:hint="eastAsia" w:ascii="Times New Roman" w:eastAsia="宋体"/>
          <w:color w:val="auto"/>
          <w:sz w:val="24"/>
          <w:szCs w:val="24"/>
          <w:highlight w:val="none"/>
          <w:lang w:val="en-US" w:eastAsia="zh-CN"/>
        </w:rPr>
        <w:t>估计</w:t>
      </w:r>
      <w:r>
        <w:rPr>
          <w:rFonts w:hint="eastAsia" w:ascii="Times New Roman" w:eastAsia="宋体"/>
          <w:color w:val="auto"/>
          <w:sz w:val="24"/>
          <w:szCs w:val="24"/>
          <w:highlight w:val="none"/>
        </w:rPr>
        <w:t>变更符合</w:t>
      </w:r>
      <w:r>
        <w:rPr>
          <w:rFonts w:hint="eastAsia" w:ascii="Times New Roman" w:eastAsia="宋体"/>
          <w:color w:val="auto"/>
          <w:sz w:val="24"/>
          <w:szCs w:val="24"/>
          <w:highlight w:val="none"/>
          <w:lang w:eastAsia="zh-CN"/>
        </w:rPr>
        <w:t>企业会计准则等</w:t>
      </w:r>
      <w:r>
        <w:rPr>
          <w:rFonts w:hint="eastAsia" w:ascii="Times New Roman" w:eastAsia="宋体"/>
          <w:color w:val="auto"/>
          <w:sz w:val="24"/>
          <w:szCs w:val="24"/>
          <w:highlight w:val="none"/>
        </w:rPr>
        <w:t>相关规定，</w:t>
      </w:r>
      <w:r>
        <w:rPr>
          <w:rFonts w:hint="eastAsia" w:ascii="Times New Roman" w:eastAsia="宋体"/>
          <w:color w:val="auto"/>
          <w:sz w:val="24"/>
          <w:szCs w:val="24"/>
        </w:rPr>
        <w:t>不会对公司2025年及以往各年度的财务状况和经营成果产生影响，预计对公司未来期间的财务状况和经营成果不会产生重大影响</w:t>
      </w:r>
      <w:r>
        <w:rPr>
          <w:rFonts w:hint="eastAsia" w:ascii="Times New Roman" w:eastAsia="宋体"/>
          <w:color w:val="auto"/>
          <w:sz w:val="24"/>
          <w:szCs w:val="24"/>
          <w:highlight w:val="none"/>
        </w:rPr>
        <w:t>，不会损害公司、股东特别是中小股东的利益。</w:t>
      </w:r>
    </w:p>
    <w:p>
      <w:pPr>
        <w:pStyle w:val="28"/>
        <w:snapToGrid w:val="0"/>
        <w:spacing w:line="380" w:lineRule="exact"/>
        <w:ind w:firstLine="482" w:firstLineChars="200"/>
        <w:outlineLvl w:val="0"/>
        <w:rPr>
          <w:rFonts w:ascii="Times New Roman" w:hAnsi="Times New Roman" w:cs="Times New Roman"/>
          <w:b/>
          <w:color w:val="auto"/>
          <w:highlight w:val="none"/>
        </w:rPr>
      </w:pPr>
      <w:r>
        <w:rPr>
          <w:rFonts w:hint="eastAsia" w:ascii="Times New Roman" w:hAnsi="Times New Roman" w:cs="Times New Roman"/>
          <w:b/>
          <w:color w:val="auto"/>
          <w:highlight w:val="none"/>
          <w:lang w:eastAsia="zh-CN"/>
        </w:rPr>
        <w:t>五</w:t>
      </w:r>
      <w:r>
        <w:rPr>
          <w:rFonts w:ascii="Times New Roman" w:hAnsi="Times New Roman" w:cs="Times New Roman"/>
          <w:b/>
          <w:color w:val="auto"/>
          <w:highlight w:val="none"/>
        </w:rPr>
        <w:t>、备查文件</w:t>
      </w:r>
    </w:p>
    <w:p>
      <w:pPr>
        <w:pStyle w:val="28"/>
        <w:snapToGrid w:val="0"/>
        <w:spacing w:line="380" w:lineRule="exact"/>
        <w:ind w:firstLine="480" w:firstLineChars="200"/>
        <w:outlineLvl w:val="1"/>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公司</w:t>
      </w:r>
      <w:r>
        <w:rPr>
          <w:rFonts w:ascii="Times New Roman" w:hAnsi="Times New Roman" w:cs="Times New Roman"/>
          <w:color w:val="auto"/>
          <w:kern w:val="2"/>
          <w:highlight w:val="none"/>
        </w:rPr>
        <w:t>第十</w:t>
      </w:r>
      <w:r>
        <w:rPr>
          <w:rFonts w:hint="eastAsia" w:ascii="Times New Roman" w:hAnsi="Times New Roman" w:cs="Times New Roman"/>
          <w:color w:val="auto"/>
          <w:kern w:val="2"/>
          <w:highlight w:val="none"/>
          <w:lang w:val="en-US" w:eastAsia="zh-CN"/>
        </w:rPr>
        <w:t>一</w:t>
      </w:r>
      <w:r>
        <w:rPr>
          <w:rFonts w:ascii="Times New Roman" w:hAnsi="Times New Roman" w:cs="Times New Roman"/>
          <w:color w:val="auto"/>
          <w:kern w:val="2"/>
          <w:highlight w:val="none"/>
        </w:rPr>
        <w:t>届</w:t>
      </w:r>
      <w:r>
        <w:rPr>
          <w:rFonts w:ascii="Times New Roman" w:hAnsi="Times New Roman" w:cs="Times New Roman"/>
          <w:color w:val="auto"/>
          <w:highlight w:val="none"/>
        </w:rPr>
        <w:t>董事会</w:t>
      </w:r>
      <w:r>
        <w:rPr>
          <w:rFonts w:ascii="Times New Roman" w:hAnsi="Times New Roman" w:cs="Times New Roman"/>
          <w:color w:val="auto"/>
          <w:kern w:val="2"/>
          <w:highlight w:val="none"/>
        </w:rPr>
        <w:t>第</w:t>
      </w:r>
      <w:r>
        <w:rPr>
          <w:rFonts w:hint="eastAsia" w:ascii="Times New Roman" w:hAnsi="Times New Roman" w:cs="Times New Roman"/>
          <w:color w:val="auto"/>
          <w:kern w:val="2"/>
          <w:highlight w:val="none"/>
          <w:lang w:val="en-US" w:eastAsia="zh-CN"/>
        </w:rPr>
        <w:t>三</w:t>
      </w:r>
      <w:r>
        <w:rPr>
          <w:rFonts w:ascii="Times New Roman" w:hAnsi="Times New Roman" w:cs="Times New Roman"/>
          <w:color w:val="auto"/>
          <w:highlight w:val="none"/>
        </w:rPr>
        <w:t xml:space="preserve">次会议决议； </w:t>
      </w:r>
    </w:p>
    <w:p>
      <w:pPr>
        <w:pStyle w:val="28"/>
        <w:snapToGrid w:val="0"/>
        <w:spacing w:line="380" w:lineRule="exact"/>
        <w:ind w:firstLine="480" w:firstLineChars="200"/>
        <w:outlineLvl w:val="1"/>
        <w:rPr>
          <w:rFonts w:hint="eastAsia" w:ascii="Times New Roman" w:eastAsia="宋体"/>
          <w:color w:val="auto"/>
          <w:sz w:val="24"/>
          <w:szCs w:val="24"/>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公司</w:t>
      </w:r>
      <w:r>
        <w:rPr>
          <w:rFonts w:hint="eastAsia" w:ascii="Times New Roman" w:eastAsia="宋体"/>
          <w:color w:val="auto"/>
          <w:sz w:val="24"/>
          <w:szCs w:val="24"/>
          <w:highlight w:val="none"/>
        </w:rPr>
        <w:t>董事会审计与风险委员会</w:t>
      </w:r>
      <w:r>
        <w:rPr>
          <w:rFonts w:hint="eastAsia" w:ascii="Times New Roman" w:eastAsia="宋体"/>
          <w:color w:val="auto"/>
          <w:sz w:val="24"/>
          <w:szCs w:val="24"/>
          <w:highlight w:val="none"/>
          <w:lang w:val="en-US" w:eastAsia="zh-CN"/>
        </w:rPr>
        <w:t>审议意见</w:t>
      </w:r>
      <w:r>
        <w:rPr>
          <w:rFonts w:hint="eastAsia" w:ascii="Times New Roman"/>
          <w:color w:val="auto"/>
          <w:sz w:val="24"/>
          <w:szCs w:val="24"/>
          <w:highlight w:val="none"/>
          <w:lang w:val="en-US" w:eastAsia="zh-CN"/>
        </w:rPr>
        <w:t>。</w:t>
      </w:r>
    </w:p>
    <w:p>
      <w:pPr>
        <w:pStyle w:val="28"/>
        <w:snapToGrid w:val="0"/>
        <w:spacing w:line="380" w:lineRule="exact"/>
        <w:ind w:firstLine="480" w:firstLineChars="200"/>
        <w:rPr>
          <w:rFonts w:ascii="Times New Roman" w:hAnsi="Times New Roman" w:cs="Times New Roman"/>
          <w:color w:val="auto"/>
        </w:rPr>
      </w:pPr>
    </w:p>
    <w:p>
      <w:pPr>
        <w:pStyle w:val="28"/>
        <w:snapToGrid w:val="0"/>
        <w:spacing w:line="380" w:lineRule="exact"/>
        <w:ind w:firstLine="480" w:firstLineChars="200"/>
        <w:rPr>
          <w:rFonts w:ascii="Times New Roman" w:hAnsi="Times New Roman" w:cs="Times New Roman"/>
          <w:color w:val="auto"/>
        </w:rPr>
      </w:pPr>
      <w:r>
        <w:rPr>
          <w:rFonts w:ascii="Times New Roman" w:hAnsi="Times New Roman" w:cs="Times New Roman"/>
          <w:color w:val="auto"/>
        </w:rPr>
        <w:t>特此公告。</w:t>
      </w:r>
    </w:p>
    <w:p>
      <w:pPr>
        <w:pStyle w:val="28"/>
        <w:snapToGrid w:val="0"/>
        <w:spacing w:line="380" w:lineRule="exact"/>
        <w:ind w:firstLine="480" w:firstLineChars="200"/>
        <w:rPr>
          <w:rFonts w:ascii="Times New Roman" w:hAnsi="Times New Roman" w:cs="Times New Roman"/>
          <w:color w:val="auto"/>
        </w:rPr>
      </w:pPr>
    </w:p>
    <w:p>
      <w:pPr>
        <w:adjustRightInd w:val="0"/>
        <w:snapToGrid w:val="0"/>
        <w:spacing w:line="380" w:lineRule="exact"/>
        <w:ind w:firstLine="477" w:firstLineChars="199"/>
        <w:jc w:val="right"/>
        <w:rPr>
          <w:color w:val="auto"/>
          <w:sz w:val="24"/>
        </w:rPr>
      </w:pPr>
    </w:p>
    <w:p>
      <w:pPr>
        <w:adjustRightInd w:val="0"/>
        <w:snapToGrid w:val="0"/>
        <w:spacing w:line="380" w:lineRule="exact"/>
        <w:ind w:firstLine="477" w:firstLineChars="199"/>
        <w:jc w:val="right"/>
        <w:rPr>
          <w:color w:val="auto"/>
          <w:sz w:val="24"/>
        </w:rPr>
      </w:pPr>
      <w:r>
        <w:rPr>
          <w:color w:val="auto"/>
          <w:sz w:val="24"/>
        </w:rPr>
        <w:t>国家能源集团长源电力股份有限公司董事会</w:t>
      </w:r>
    </w:p>
    <w:p>
      <w:pPr>
        <w:adjustRightInd w:val="0"/>
        <w:snapToGrid w:val="0"/>
        <w:spacing w:line="380" w:lineRule="exact"/>
        <w:ind w:firstLine="477" w:firstLineChars="199"/>
        <w:jc w:val="center"/>
        <w:outlineLvl w:val="0"/>
        <w:rPr>
          <w:color w:val="auto"/>
          <w:sz w:val="24"/>
        </w:rPr>
      </w:pPr>
      <w:r>
        <w:rPr>
          <w:color w:val="auto"/>
          <w:sz w:val="24"/>
        </w:rPr>
        <w:t xml:space="preserve">                         </w:t>
      </w:r>
      <w:r>
        <w:rPr>
          <w:color w:val="auto"/>
          <w:sz w:val="24"/>
          <w:highlight w:val="none"/>
        </w:rPr>
        <w:t xml:space="preserve"> 202</w:t>
      </w:r>
      <w:r>
        <w:rPr>
          <w:rFonts w:hint="eastAsia"/>
          <w:color w:val="auto"/>
          <w:sz w:val="24"/>
          <w:highlight w:val="none"/>
          <w:lang w:val="en-US" w:eastAsia="zh-CN"/>
        </w:rPr>
        <w:t>5</w:t>
      </w:r>
      <w:r>
        <w:rPr>
          <w:color w:val="auto"/>
          <w:sz w:val="24"/>
          <w:highlight w:val="none"/>
        </w:rPr>
        <w:t>年</w:t>
      </w:r>
      <w:r>
        <w:rPr>
          <w:rFonts w:hint="eastAsia"/>
          <w:color w:val="auto"/>
          <w:sz w:val="24"/>
          <w:highlight w:val="none"/>
          <w:lang w:val="en-US" w:eastAsia="zh-CN"/>
        </w:rPr>
        <w:t>12</w:t>
      </w:r>
      <w:r>
        <w:rPr>
          <w:color w:val="auto"/>
          <w:sz w:val="24"/>
          <w:highlight w:val="none"/>
        </w:rPr>
        <w:t>月</w:t>
      </w:r>
      <w:r>
        <w:rPr>
          <w:rFonts w:hint="eastAsia"/>
          <w:color w:val="auto"/>
          <w:sz w:val="24"/>
          <w:highlight w:val="none"/>
          <w:lang w:eastAsia="zh-CN"/>
        </w:rPr>
        <w:t>2</w:t>
      </w:r>
      <w:r>
        <w:rPr>
          <w:rFonts w:hint="eastAsia"/>
          <w:color w:val="auto"/>
          <w:sz w:val="24"/>
          <w:highlight w:val="none"/>
          <w:lang w:val="en-US" w:eastAsia="zh-CN"/>
        </w:rPr>
        <w:t>3</w:t>
      </w:r>
      <w:r>
        <w:rPr>
          <w:color w:val="auto"/>
          <w:sz w:val="24"/>
          <w:highlight w:val="none"/>
        </w:rPr>
        <w:t>日</w:t>
      </w:r>
    </w:p>
    <w:p>
      <w:pPr>
        <w:adjustRightInd w:val="0"/>
        <w:snapToGrid w:val="0"/>
        <w:rPr>
          <w:color w:val="auto"/>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D51CB"/>
    <w:multiLevelType w:val="singleLevel"/>
    <w:tmpl w:val="AFCD51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EE6"/>
    <w:rsid w:val="000419D0"/>
    <w:rsid w:val="000B1D6E"/>
    <w:rsid w:val="000B2575"/>
    <w:rsid w:val="000D6CE6"/>
    <w:rsid w:val="00151C8B"/>
    <w:rsid w:val="001C1CBB"/>
    <w:rsid w:val="00226254"/>
    <w:rsid w:val="00323D4A"/>
    <w:rsid w:val="00374CB4"/>
    <w:rsid w:val="003D45C1"/>
    <w:rsid w:val="004155F1"/>
    <w:rsid w:val="004D2769"/>
    <w:rsid w:val="004D35D7"/>
    <w:rsid w:val="005041E0"/>
    <w:rsid w:val="005529E5"/>
    <w:rsid w:val="005B6724"/>
    <w:rsid w:val="006E0F57"/>
    <w:rsid w:val="007F0514"/>
    <w:rsid w:val="00894854"/>
    <w:rsid w:val="009304A1"/>
    <w:rsid w:val="00967714"/>
    <w:rsid w:val="00980B5B"/>
    <w:rsid w:val="009E51AC"/>
    <w:rsid w:val="00A32498"/>
    <w:rsid w:val="00A86B26"/>
    <w:rsid w:val="00A976F9"/>
    <w:rsid w:val="00AB681B"/>
    <w:rsid w:val="00B17FE2"/>
    <w:rsid w:val="00B61EE6"/>
    <w:rsid w:val="00BD1E93"/>
    <w:rsid w:val="00C936AC"/>
    <w:rsid w:val="00CB273A"/>
    <w:rsid w:val="00D70B7C"/>
    <w:rsid w:val="00E40B93"/>
    <w:rsid w:val="00E424DE"/>
    <w:rsid w:val="00E71855"/>
    <w:rsid w:val="00ED0124"/>
    <w:rsid w:val="00EF0A39"/>
    <w:rsid w:val="00F0449E"/>
    <w:rsid w:val="00F417D9"/>
    <w:rsid w:val="0119409E"/>
    <w:rsid w:val="01A80056"/>
    <w:rsid w:val="04481D32"/>
    <w:rsid w:val="046D71A3"/>
    <w:rsid w:val="049820AD"/>
    <w:rsid w:val="05231616"/>
    <w:rsid w:val="07475105"/>
    <w:rsid w:val="0DAD5DE8"/>
    <w:rsid w:val="12325429"/>
    <w:rsid w:val="154048DA"/>
    <w:rsid w:val="154F67B8"/>
    <w:rsid w:val="17B31293"/>
    <w:rsid w:val="17D6745A"/>
    <w:rsid w:val="18895289"/>
    <w:rsid w:val="1B6E48ED"/>
    <w:rsid w:val="1C167126"/>
    <w:rsid w:val="1C5346E4"/>
    <w:rsid w:val="1C7D1A4B"/>
    <w:rsid w:val="1EEB3666"/>
    <w:rsid w:val="1F1C73B7"/>
    <w:rsid w:val="20893D15"/>
    <w:rsid w:val="208D68D8"/>
    <w:rsid w:val="20D254D7"/>
    <w:rsid w:val="24E66599"/>
    <w:rsid w:val="288941CB"/>
    <w:rsid w:val="2ADE0541"/>
    <w:rsid w:val="2EA025A7"/>
    <w:rsid w:val="30707B77"/>
    <w:rsid w:val="30F16ECD"/>
    <w:rsid w:val="317033BD"/>
    <w:rsid w:val="335066B3"/>
    <w:rsid w:val="35CA3ADB"/>
    <w:rsid w:val="36137523"/>
    <w:rsid w:val="36D7409C"/>
    <w:rsid w:val="3807622A"/>
    <w:rsid w:val="38D705A3"/>
    <w:rsid w:val="39AC6DEE"/>
    <w:rsid w:val="3AAA073F"/>
    <w:rsid w:val="3B104BBD"/>
    <w:rsid w:val="3C002BB3"/>
    <w:rsid w:val="3C2278DD"/>
    <w:rsid w:val="3D972855"/>
    <w:rsid w:val="40F41F87"/>
    <w:rsid w:val="4428176E"/>
    <w:rsid w:val="4582639A"/>
    <w:rsid w:val="460D763B"/>
    <w:rsid w:val="48D1223A"/>
    <w:rsid w:val="48F84D9F"/>
    <w:rsid w:val="49AC5DF1"/>
    <w:rsid w:val="4A1678E1"/>
    <w:rsid w:val="4A336625"/>
    <w:rsid w:val="4B04356E"/>
    <w:rsid w:val="4D6D101A"/>
    <w:rsid w:val="4EEB7DEC"/>
    <w:rsid w:val="4F323DFA"/>
    <w:rsid w:val="50B502AC"/>
    <w:rsid w:val="52050320"/>
    <w:rsid w:val="54D05EA2"/>
    <w:rsid w:val="55FC3F81"/>
    <w:rsid w:val="565E3C29"/>
    <w:rsid w:val="569469CE"/>
    <w:rsid w:val="59DE6BC6"/>
    <w:rsid w:val="5AC81311"/>
    <w:rsid w:val="5B0F771B"/>
    <w:rsid w:val="5C7E0834"/>
    <w:rsid w:val="5DE8471D"/>
    <w:rsid w:val="60921E82"/>
    <w:rsid w:val="681C6464"/>
    <w:rsid w:val="6DFE6F1F"/>
    <w:rsid w:val="6E15520C"/>
    <w:rsid w:val="702628A5"/>
    <w:rsid w:val="705F1070"/>
    <w:rsid w:val="70973FA2"/>
    <w:rsid w:val="746C01C1"/>
    <w:rsid w:val="751E14E5"/>
    <w:rsid w:val="763F02D4"/>
    <w:rsid w:val="76D71369"/>
    <w:rsid w:val="76FA325E"/>
    <w:rsid w:val="76FC2A78"/>
    <w:rsid w:val="776B3965"/>
    <w:rsid w:val="780F0F07"/>
    <w:rsid w:val="7880199F"/>
    <w:rsid w:val="796204D6"/>
    <w:rsid w:val="7A316303"/>
    <w:rsid w:val="7A380C19"/>
    <w:rsid w:val="7A473151"/>
    <w:rsid w:val="7A96762C"/>
    <w:rsid w:val="7C31256D"/>
    <w:rsid w:val="7C383C02"/>
    <w:rsid w:val="7CA32436"/>
    <w:rsid w:val="7E5E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spacing w:line="586" w:lineRule="exact"/>
      <w:jc w:val="center"/>
      <w:outlineLvl w:val="0"/>
    </w:pPr>
    <w:rPr>
      <w:rFonts w:ascii="方正小标宋简体" w:eastAsia="方正小标宋简体"/>
      <w:color w:val="000000"/>
      <w:sz w:val="44"/>
      <w:szCs w:val="44"/>
    </w:rPr>
  </w:style>
  <w:style w:type="paragraph" w:styleId="4">
    <w:name w:val="heading 2"/>
    <w:basedOn w:val="1"/>
    <w:next w:val="1"/>
    <w:link w:val="18"/>
    <w:qFormat/>
    <w:uiPriority w:val="0"/>
    <w:pPr>
      <w:spacing w:line="586" w:lineRule="exact"/>
      <w:ind w:firstLine="643" w:firstLineChars="200"/>
      <w:outlineLvl w:val="1"/>
    </w:pPr>
    <w:rPr>
      <w:rFonts w:ascii="黑体" w:eastAsia="黑体"/>
      <w:color w:val="000000"/>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6">
    <w:name w:val="annotation text"/>
    <w:basedOn w:val="1"/>
    <w:unhideWhenUsed/>
    <w:qFormat/>
    <w:uiPriority w:val="99"/>
    <w:pPr>
      <w:jc w:val="left"/>
    </w:pPr>
  </w:style>
  <w:style w:type="paragraph" w:styleId="7">
    <w:name w:val="Body Text Indent"/>
    <w:basedOn w:val="1"/>
    <w:next w:val="8"/>
    <w:unhideWhenUsed/>
    <w:qFormat/>
    <w:uiPriority w:val="99"/>
    <w:pPr>
      <w:spacing w:line="360" w:lineRule="auto"/>
      <w:ind w:firstLine="640" w:firstLineChars="200"/>
    </w:pPr>
    <w:rPr>
      <w:rFonts w:ascii="仿宋_GB2312" w:hAnsi="宋体" w:eastAsia="仿宋_GB2312"/>
      <w:snapToGrid w:val="0"/>
      <w:kern w:val="0"/>
      <w:sz w:val="32"/>
      <w:szCs w:val="20"/>
    </w:rPr>
  </w:style>
  <w:style w:type="paragraph" w:styleId="8">
    <w:name w:val="envelope return"/>
    <w:basedOn w:val="1"/>
    <w:qFormat/>
    <w:uiPriority w:val="0"/>
    <w:pPr>
      <w:snapToGrid w:val="0"/>
    </w:pPr>
    <w:rPr>
      <w:rFonts w:ascii="Arial" w:hAnsi="Arial"/>
    </w:rPr>
  </w:style>
  <w:style w:type="paragraph" w:styleId="9">
    <w:name w:val="Body Text Indent 2"/>
    <w:basedOn w:val="1"/>
    <w:link w:val="17"/>
    <w:qFormat/>
    <w:uiPriority w:val="0"/>
    <w:pPr>
      <w:spacing w:after="120" w:line="480" w:lineRule="auto"/>
      <w:ind w:left="420" w:leftChars="200"/>
    </w:pPr>
  </w:style>
  <w:style w:type="paragraph" w:styleId="10">
    <w:name w:val="Balloon Text"/>
    <w:basedOn w:val="1"/>
    <w:link w:val="23"/>
    <w:semiHidden/>
    <w:qFormat/>
    <w:uiPriority w:val="99"/>
    <w:rPr>
      <w:rFonts w:ascii="Calibri" w:hAnsi="Calibri"/>
      <w:sz w:val="18"/>
      <w:szCs w:val="18"/>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7"/>
    <w:next w:val="1"/>
    <w:qFormat/>
    <w:uiPriority w:val="0"/>
    <w:pPr>
      <w:spacing w:line="240" w:lineRule="auto"/>
      <w:ind w:firstLine="420" w:firstLineChars="0"/>
    </w:pPr>
    <w:rPr>
      <w:szCs w:val="24"/>
    </w:rPr>
  </w:style>
  <w:style w:type="character" w:customStyle="1" w:styleId="17">
    <w:name w:val="正文文本缩进 2 字符"/>
    <w:basedOn w:val="16"/>
    <w:link w:val="9"/>
    <w:qFormat/>
    <w:uiPriority w:val="0"/>
    <w:rPr>
      <w:rFonts w:ascii="Times New Roman" w:hAnsi="Times New Roman" w:eastAsia="宋体" w:cs="Times New Roman"/>
      <w:szCs w:val="24"/>
    </w:rPr>
  </w:style>
  <w:style w:type="character" w:customStyle="1" w:styleId="18">
    <w:name w:val="标题 2 字符"/>
    <w:basedOn w:val="16"/>
    <w:link w:val="4"/>
    <w:qFormat/>
    <w:uiPriority w:val="0"/>
    <w:rPr>
      <w:rFonts w:ascii="黑体" w:hAnsi="Times New Roman" w:eastAsia="黑体" w:cs="Times New Roman"/>
      <w:b/>
      <w:color w:val="000000"/>
      <w:sz w:val="32"/>
      <w:szCs w:val="32"/>
    </w:rPr>
  </w:style>
  <w:style w:type="character" w:customStyle="1" w:styleId="19">
    <w:name w:val="页脚 字符"/>
    <w:basedOn w:val="16"/>
    <w:link w:val="11"/>
    <w:qFormat/>
    <w:uiPriority w:val="99"/>
    <w:rPr>
      <w:rFonts w:ascii="Times New Roman" w:hAnsi="Times New Roman" w:eastAsia="宋体" w:cs="Times New Roman"/>
      <w:sz w:val="18"/>
      <w:szCs w:val="18"/>
    </w:rPr>
  </w:style>
  <w:style w:type="character" w:customStyle="1" w:styleId="20">
    <w:name w:val="标题 1 字符"/>
    <w:basedOn w:val="16"/>
    <w:link w:val="3"/>
    <w:qFormat/>
    <w:uiPriority w:val="0"/>
    <w:rPr>
      <w:rFonts w:ascii="方正小标宋简体" w:hAnsi="Times New Roman" w:eastAsia="方正小标宋简体" w:cs="Times New Roman"/>
      <w:color w:val="000000"/>
      <w:sz w:val="44"/>
      <w:szCs w:val="44"/>
    </w:rPr>
  </w:style>
  <w:style w:type="character" w:customStyle="1" w:styleId="21">
    <w:name w:val="标题 3 字符"/>
    <w:basedOn w:val="16"/>
    <w:link w:val="5"/>
    <w:semiHidden/>
    <w:qFormat/>
    <w:uiPriority w:val="9"/>
    <w:rPr>
      <w:rFonts w:ascii="Times New Roman" w:hAnsi="Times New Roman" w:eastAsia="宋体" w:cs="Times New Roman"/>
      <w:b/>
      <w:bCs/>
      <w:sz w:val="32"/>
      <w:szCs w:val="32"/>
    </w:rPr>
  </w:style>
  <w:style w:type="character" w:customStyle="1" w:styleId="22">
    <w:name w:val="页眉 字符"/>
    <w:basedOn w:val="16"/>
    <w:link w:val="12"/>
    <w:semiHidden/>
    <w:qFormat/>
    <w:uiPriority w:val="99"/>
    <w:rPr>
      <w:rFonts w:ascii="Times New Roman" w:hAnsi="Times New Roman" w:eastAsia="宋体" w:cs="Times New Roman"/>
      <w:sz w:val="18"/>
      <w:szCs w:val="18"/>
    </w:rPr>
  </w:style>
  <w:style w:type="character" w:customStyle="1" w:styleId="23">
    <w:name w:val="批注框文本 字符"/>
    <w:basedOn w:val="16"/>
    <w:link w:val="10"/>
    <w:semiHidden/>
    <w:qFormat/>
    <w:uiPriority w:val="99"/>
    <w:rPr>
      <w:rFonts w:ascii="Calibri" w:hAnsi="Calibri" w:eastAsia="宋体" w:cs="Times New Roman"/>
      <w:sz w:val="18"/>
      <w:szCs w:val="18"/>
    </w:rPr>
  </w:style>
  <w:style w:type="character" w:customStyle="1" w:styleId="24">
    <w:name w:val="正文格式 Char"/>
    <w:link w:val="25"/>
    <w:qFormat/>
    <w:uiPriority w:val="0"/>
    <w:rPr>
      <w:rFonts w:ascii="仿宋_GB2312" w:hAnsi="Times New Roman" w:eastAsia="仿宋_GB2312" w:cs="Times New Roman"/>
      <w:color w:val="000000"/>
      <w:sz w:val="32"/>
      <w:szCs w:val="32"/>
    </w:rPr>
  </w:style>
  <w:style w:type="paragraph" w:customStyle="1" w:styleId="25">
    <w:name w:val="正文格式"/>
    <w:basedOn w:val="1"/>
    <w:link w:val="24"/>
    <w:qFormat/>
    <w:uiPriority w:val="0"/>
    <w:pPr>
      <w:spacing w:line="586" w:lineRule="exact"/>
      <w:ind w:firstLine="640" w:firstLineChars="200"/>
    </w:pPr>
    <w:rPr>
      <w:rFonts w:ascii="仿宋_GB2312" w:eastAsia="仿宋_GB2312"/>
      <w:color w:val="000000"/>
      <w:kern w:val="0"/>
      <w:sz w:val="32"/>
      <w:szCs w:val="32"/>
    </w:rPr>
  </w:style>
  <w:style w:type="paragraph" w:customStyle="1" w:styleId="26">
    <w:name w:val="11年报正文11"/>
    <w:basedOn w:val="1"/>
    <w:qFormat/>
    <w:uiPriority w:val="0"/>
    <w:pPr>
      <w:spacing w:before="40" w:after="40" w:line="400" w:lineRule="exact"/>
      <w:ind w:firstLine="480" w:firstLineChars="200"/>
      <w:textAlignment w:val="center"/>
    </w:pPr>
    <w:rPr>
      <w:rFonts w:ascii="宋体" w:hAnsi="宋体" w:cs="宋体"/>
      <w:sz w:val="24"/>
    </w:rPr>
  </w:style>
  <w:style w:type="paragraph" w:styleId="27">
    <w:name w:val="List Paragraph"/>
    <w:basedOn w:val="1"/>
    <w:qFormat/>
    <w:uiPriority w:val="99"/>
    <w:pPr>
      <w:ind w:firstLine="420" w:firstLineChars="200"/>
    </w:p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29">
    <w:name w:val="立信年报表格 [2级]"/>
    <w:basedOn w:val="15"/>
    <w:qFormat/>
    <w:uiPriority w:val="0"/>
    <w:pPr>
      <w:spacing w:line="400" w:lineRule="atLeast"/>
      <w:jc w:val="both"/>
    </w:pPr>
    <w:rPr>
      <w:color w:val="000000"/>
      <w:sz w:val="18"/>
      <w:szCs w:val="21"/>
    </w:rPr>
    <w:tblPr>
      <w:tblBorders>
        <w:top w:val="single" w:color="auto" w:sz="12" w:space="0"/>
        <w:bottom w:val="single" w:color="auto" w:sz="12" w:space="0"/>
        <w:insideH w:val="dotted" w:color="auto" w:sz="4" w:space="0"/>
        <w:insideV w:val="dotted" w:color="auto" w:sz="4" w:space="0"/>
      </w:tblBorders>
    </w:tblPr>
    <w:tcPr>
      <w:shd w:val="clear" w:color="auto" w:fill="auto"/>
    </w:tcPr>
  </w:style>
  <w:style w:type="table" w:customStyle="1" w:styleId="30">
    <w:name w:val="报表格式"/>
    <w:basedOn w:val="15"/>
    <w:qFormat/>
    <w:uiPriority w:val="99"/>
    <w:pPr>
      <w:jc w:val="center"/>
    </w:pPr>
    <w:rPr>
      <w:rFonts w:ascii="Calibri" w:hAnsi="Calibri"/>
    </w:rPr>
    <w:tblPr>
      <w:tblBorders>
        <w:top w:val="single" w:color="0C0C0C" w:sz="12" w:space="0"/>
        <w:bottom w:val="single" w:color="0C0C0C" w:sz="12" w:space="0"/>
      </w:tblBorders>
    </w:tblPr>
    <w:tcPr>
      <w:vAlign w:val="center"/>
    </w:tcPr>
    <w:tblStylePr w:type="firstRow">
      <w:pPr>
        <w:jc w:val="center"/>
      </w:pPr>
      <w:tcPr>
        <w:tcBorders>
          <w:top w:val="nil"/>
          <w:left w:val="nil"/>
          <w:bottom w:val="dotted" w:color="auto" w:sz="4" w:space="0"/>
          <w:right w:val="nil"/>
          <w:insideH w:val="nil"/>
          <w:insideV w:val="nil"/>
          <w:tl2br w:val="nil"/>
          <w:tr2bl w:val="nil"/>
        </w:tcBorders>
      </w:tcPr>
    </w:tblStylePr>
    <w:tblStylePr w:type="lastRow">
      <w:pPr>
        <w:jc w:val="both"/>
      </w:pPr>
    </w:tblStylePr>
    <w:tblStylePr w:type="firstCol">
      <w:pPr>
        <w:jc w:val="both"/>
      </w:pPr>
    </w:tblStylePr>
  </w:style>
  <w:style w:type="paragraph" w:customStyle="1" w:styleId="31">
    <w:name w:val="立信附注正文 [3级]"/>
    <w:qFormat/>
    <w:uiPriority w:val="0"/>
    <w:pPr>
      <w:widowControl w:val="0"/>
      <w:tabs>
        <w:tab w:val="left" w:pos="0"/>
      </w:tabs>
      <w:adjustRightInd w:val="0"/>
      <w:snapToGrid w:val="0"/>
      <w:spacing w:line="400" w:lineRule="atLeast"/>
      <w:ind w:left="1276"/>
      <w:jc w:val="both"/>
    </w:pPr>
    <w:rPr>
      <w:rFonts w:ascii="Times New Roman" w:hAnsi="Times New Roman"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371</Words>
  <Characters>2120</Characters>
  <Lines>17</Lines>
  <Paragraphs>4</Paragraphs>
  <TotalTime>11</TotalTime>
  <ScaleCrop>false</ScaleCrop>
  <LinksUpToDate>false</LinksUpToDate>
  <CharactersWithSpaces>2487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2015-04-16T07:20:00Z</dcterms:created>
  <dc:creator>汪卉/国电长源电力股份有限公司</dc:creator>
  <cp:lastModifiedBy>刘硕02</cp:lastModifiedBy>
  <cp:lastPrinted>2025-12-22T07:44:00Z</cp:lastPrinted>
  <dcterms:modified xsi:type="dcterms:W3CDTF">2025-12-22T08:48:02Z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75A9EC8484DF4305ADAB6C1CCC298E8D</vt:lpwstr>
  </property>
</Properties>
</file>