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100" w:line="30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证券代码：000966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证券简称：长源电力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公告编号：2025-091</w:t>
      </w:r>
    </w:p>
    <w:p>
      <w:pPr>
        <w:spacing w:before="0" w:after="0" w:line="560" w:lineRule="exact"/>
        <w:jc w:val="center"/>
        <w:rPr>
          <w:rFonts w:hint="default" w:ascii="Times New Roman" w:hAnsi="Times New Roman" w:eastAsia="宋体" w:cs="Times New Roman"/>
          <w:b/>
          <w:bCs/>
          <w:sz w:val="30"/>
          <w:szCs w:val="30"/>
        </w:rPr>
      </w:pPr>
      <w:r>
        <w:rPr>
          <w:rFonts w:hint="default" w:ascii="Times New Roman" w:hAnsi="Times New Roman" w:eastAsia="宋体" w:cs="Times New Roman"/>
          <w:b/>
          <w:bCs/>
          <w:sz w:val="30"/>
          <w:szCs w:val="30"/>
        </w:rPr>
        <w:t>国家能源集团长源电力股份有限公司</w:t>
      </w:r>
    </w:p>
    <w:p>
      <w:pPr>
        <w:spacing w:before="0" w:after="0" w:line="560" w:lineRule="exact"/>
        <w:jc w:val="center"/>
        <w:rPr>
          <w:rFonts w:hint="default" w:ascii="Times New Roman" w:hAnsi="Times New Roman" w:eastAsia="宋体" w:cs="Times New Roman"/>
          <w:b/>
          <w:bCs/>
          <w:sz w:val="30"/>
          <w:szCs w:val="30"/>
        </w:rPr>
      </w:pPr>
      <w:r>
        <w:rPr>
          <w:rFonts w:hint="default" w:ascii="Times New Roman" w:hAnsi="Times New Roman" w:eastAsia="宋体" w:cs="Times New Roman"/>
          <w:b/>
          <w:bCs/>
          <w:sz w:val="30"/>
          <w:szCs w:val="30"/>
        </w:rPr>
        <w:t>关于召开2025年第四次临时股东会的通知</w:t>
      </w:r>
    </w:p>
    <w:p>
      <w:pPr>
        <w:pStyle w:val="9"/>
        <w:keepNext w:val="0"/>
        <w:keepLines w:val="0"/>
        <w:widowControl/>
        <w:suppressLineNumbers w:val="0"/>
        <w:pBdr>
          <w:top w:val="single" w:color="000000" w:sz="6" w:space="0"/>
          <w:left w:val="single" w:color="000000" w:sz="6" w:space="10"/>
          <w:bottom w:val="single" w:color="000000" w:sz="6" w:space="10"/>
          <w:right w:val="single" w:color="000000" w:sz="6" w:space="10"/>
        </w:pBdr>
        <w:spacing w:line="560" w:lineRule="atLeast"/>
        <w:ind w:left="0" w:firstLine="42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本公司及董事会全体成员保证信息披露的内容真实、准确、完整，没有虚假记载、误导性陈述或重大遗漏。</w:t>
      </w:r>
    </w:p>
    <w:p>
      <w:pPr>
        <w:pStyle w:val="3"/>
        <w:keepNext/>
        <w:keepLines/>
        <w:spacing w:before="300" w:after="300" w:line="400" w:lineRule="exact"/>
        <w:ind w:firstLine="560" w:firstLineChars="200"/>
        <w:jc w:val="left"/>
        <w:outlineLvl w:val="1"/>
        <w:rPr>
          <w:rFonts w:hint="default" w:ascii="Times New Roman" w:hAnsi="Times New Roman" w:eastAsia="宋体" w:cs="Times New Roman"/>
          <w:b/>
          <w:bCs/>
          <w:sz w:val="28"/>
          <w:szCs w:val="28"/>
        </w:rPr>
      </w:pPr>
      <w:bookmarkStart w:id="0" w:name="_Toc988889"/>
      <w:r>
        <w:rPr>
          <w:rFonts w:hint="default" w:ascii="Times New Roman" w:hAnsi="Times New Roman" w:eastAsia="宋体" w:cs="Times New Roman"/>
          <w:b/>
          <w:bCs/>
          <w:sz w:val="28"/>
          <w:szCs w:val="28"/>
        </w:rPr>
        <w:t>一、召开会议的基本情况</w:t>
      </w:r>
      <w:bookmarkEnd w:id="0"/>
    </w:p>
    <w:p>
      <w:pPr>
        <w:spacing w:before="100" w:after="100"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1、股东会届次：2025年第四次临时股东会</w:t>
      </w:r>
    </w:p>
    <w:p>
      <w:pPr>
        <w:spacing w:before="100" w:after="100"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2、股东会的召集人：董事会</w:t>
      </w:r>
    </w:p>
    <w:p>
      <w:pPr>
        <w:keepNext w:val="0"/>
        <w:keepLines w:val="0"/>
        <w:widowControl/>
        <w:suppressLineNumbers w:val="0"/>
        <w:spacing w:before="100" w:after="100" w:line="400" w:lineRule="exact"/>
        <w:ind w:left="0"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3、本次会议的召集、召开符合《中华人民共和国公司法》《深圳证券交易所股票上市规则》《深圳证券交易所上市公司自律监管指引第1号——主板上市公司规范运作》等法律、行政法规、部门规章、规范性文件及《公司章程》的有关规定。</w:t>
      </w:r>
    </w:p>
    <w:p>
      <w:pPr>
        <w:spacing w:before="100" w:after="100"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4、会议时间：</w:t>
      </w:r>
    </w:p>
    <w:p>
      <w:pPr>
        <w:spacing w:before="100" w:after="100"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（1）现场会议时间：2025年12月22日15:00</w:t>
      </w:r>
    </w:p>
    <w:p>
      <w:pPr>
        <w:spacing w:before="100" w:after="100"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（2）网络投票时间：通过深圳证券交易所系统进行网络投票的具体时间为2025年12月22日9:15-9:25，9:30-11:30，13:00-15:00；通过深圳证券交易所互联网投票系统投票的具体时间为2025年12月22日9:15至15:00的任意时间。</w:t>
      </w:r>
    </w:p>
    <w:p>
      <w:pPr>
        <w:spacing w:before="100" w:after="100"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5、会议的召开方式：现场表决与网络投票相结合。</w:t>
      </w:r>
    </w:p>
    <w:p>
      <w:pPr>
        <w:spacing w:before="100" w:after="100" w:line="400" w:lineRule="exact"/>
        <w:ind w:firstLine="480" w:firstLineChars="200"/>
        <w:jc w:val="left"/>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6、会议的股权登记日：2025年12月15日</w:t>
      </w:r>
      <w:r>
        <w:rPr>
          <w:rFonts w:hint="eastAsia" w:cs="Times New Roman"/>
          <w:sz w:val="24"/>
          <w:szCs w:val="24"/>
          <w:lang w:eastAsia="zh-CN"/>
        </w:rPr>
        <w:t>。</w:t>
      </w:r>
    </w:p>
    <w:p>
      <w:pPr>
        <w:spacing w:before="100" w:after="100"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7、出席对象：</w:t>
      </w:r>
    </w:p>
    <w:p>
      <w:pPr>
        <w:numPr>
          <w:ilvl w:val="0"/>
          <w:numId w:val="1"/>
        </w:numPr>
        <w:spacing w:before="100" w:after="100" w:line="4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股权登记日持有公司股份的普通股股东或其代理人；于股权登记日2025年12月15日下午收市时在中国证券登记结算有限公司深圳分公司登记在册的公司全体股东均有权出席股东会，并可以以书面形式委托代理人出席会议和参加表决（授权委托书详见附件2），该股东代理人不必是本公司股东。</w:t>
      </w:r>
    </w:p>
    <w:p>
      <w:pPr>
        <w:spacing w:before="100" w:after="100" w:line="4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关联股东国家能源投资集团有限责任公司（以下简称国家能源集团）需在股东会上回避表决，具体议案及内容详见公司同日在《中国证券报》《证券时报》及巨潮资讯网上披露的有关公告（公告编号：2025-087、088），同时不可接受其他股东委托进行投票。</w:t>
      </w:r>
    </w:p>
    <w:p>
      <w:pPr>
        <w:numPr>
          <w:ilvl w:val="0"/>
          <w:numId w:val="2"/>
        </w:numPr>
        <w:spacing w:before="100" w:after="100" w:line="4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公司董事和高级管理人员；</w:t>
      </w:r>
    </w:p>
    <w:p>
      <w:pPr>
        <w:numPr>
          <w:ilvl w:val="0"/>
          <w:numId w:val="3"/>
        </w:numPr>
        <w:spacing w:before="100" w:after="100" w:line="4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公司聘请的律师；</w:t>
      </w:r>
    </w:p>
    <w:p>
      <w:pPr>
        <w:spacing w:before="100" w:after="100" w:line="4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（4）根据相关法规应当出席股东会的其他人员。</w:t>
      </w:r>
    </w:p>
    <w:p>
      <w:pPr>
        <w:spacing w:before="100" w:after="100"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8、会议地点：湖北省武汉市洪山区徐东大街63号国家能源大厦2楼206会议室。</w:t>
      </w:r>
    </w:p>
    <w:p>
      <w:pPr>
        <w:pStyle w:val="3"/>
        <w:keepNext/>
        <w:keepLines/>
        <w:spacing w:before="300" w:after="300" w:line="400" w:lineRule="exact"/>
        <w:ind w:firstLine="560" w:firstLineChars="200"/>
        <w:jc w:val="left"/>
        <w:outlineLvl w:val="1"/>
        <w:rPr>
          <w:rFonts w:hint="default" w:ascii="Times New Roman" w:hAnsi="Times New Roman" w:eastAsia="宋体" w:cs="Times New Roman"/>
          <w:b/>
          <w:bCs/>
          <w:sz w:val="28"/>
          <w:szCs w:val="28"/>
        </w:rPr>
      </w:pPr>
      <w:bookmarkStart w:id="1" w:name="_Toc988890"/>
      <w:r>
        <w:rPr>
          <w:rFonts w:hint="default" w:ascii="Times New Roman" w:hAnsi="Times New Roman" w:eastAsia="宋体" w:cs="Times New Roman"/>
          <w:b/>
          <w:bCs/>
          <w:sz w:val="28"/>
          <w:szCs w:val="28"/>
        </w:rPr>
        <w:t>二、会议审议事项</w:t>
      </w:r>
      <w:bookmarkEnd w:id="1"/>
    </w:p>
    <w:p>
      <w:pPr>
        <w:spacing w:before="100" w:after="100"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1、本次股东会提案编码表</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00"/>
        <w:gridCol w:w="4000"/>
        <w:gridCol w:w="2000"/>
        <w:gridCol w:w="22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5" w:hRule="atLeast"/>
        </w:trPr>
        <w:tc>
          <w:tcPr>
            <w:tcW w:w="14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提案编码</w:t>
            </w:r>
          </w:p>
        </w:tc>
        <w:tc>
          <w:tcPr>
            <w:tcW w:w="40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提案名称</w:t>
            </w:r>
          </w:p>
        </w:tc>
        <w:tc>
          <w:tcPr>
            <w:tcW w:w="20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提案类型</w:t>
            </w:r>
          </w:p>
        </w:tc>
        <w:tc>
          <w:tcPr>
            <w:tcW w:w="223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trPr>
        <w:tc>
          <w:tcPr>
            <w:tcW w:w="1400"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sz w:val="24"/>
                <w:szCs w:val="24"/>
              </w:rPr>
            </w:pPr>
          </w:p>
        </w:tc>
        <w:tc>
          <w:tcPr>
            <w:tcW w:w="4000"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sz w:val="24"/>
                <w:szCs w:val="24"/>
              </w:rPr>
            </w:pPr>
          </w:p>
        </w:tc>
        <w:tc>
          <w:tcPr>
            <w:tcW w:w="2000"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sz w:val="24"/>
                <w:szCs w:val="24"/>
              </w:rPr>
            </w:pPr>
          </w:p>
        </w:tc>
        <w:tc>
          <w:tcPr>
            <w:tcW w:w="2239" w:type="dxa"/>
            <w:tcBorders>
              <w:top w:val="single" w:color="auto" w:sz="2" w:space="0"/>
              <w:left w:val="single" w:color="auto" w:sz="2" w:space="0"/>
              <w:bottom w:val="single" w:color="auto" w:sz="2" w:space="0"/>
              <w:right w:val="single" w:color="auto" w:sz="2" w:space="0"/>
            </w:tcBorders>
            <w:vAlign w:val="center"/>
          </w:tcPr>
          <w:p>
            <w:pPr>
              <w:spacing w:before="0" w:after="0"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该列打勾的栏目可以投票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trPr>
        <w:tc>
          <w:tcPr>
            <w:tcW w:w="1400" w:type="dxa"/>
            <w:tcBorders>
              <w:top w:val="single" w:color="auto" w:sz="2" w:space="0"/>
              <w:left w:val="single" w:color="auto" w:sz="2" w:space="0"/>
              <w:bottom w:val="single" w:color="auto" w:sz="2" w:space="0"/>
              <w:right w:val="single" w:color="auto" w:sz="2" w:space="0"/>
            </w:tcBorders>
            <w:vAlign w:val="center"/>
          </w:tcPr>
          <w:p>
            <w:pPr>
              <w:spacing w:before="0" w:after="0"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100</w:t>
            </w:r>
          </w:p>
        </w:tc>
        <w:tc>
          <w:tcPr>
            <w:tcW w:w="4000" w:type="dxa"/>
            <w:tcBorders>
              <w:top w:val="single" w:color="auto" w:sz="2" w:space="0"/>
              <w:left w:val="single" w:color="auto" w:sz="2" w:space="0"/>
              <w:bottom w:val="single" w:color="auto" w:sz="2" w:space="0"/>
              <w:right w:val="single" w:color="auto" w:sz="2" w:space="0"/>
            </w:tcBorders>
            <w:vAlign w:val="center"/>
          </w:tcPr>
          <w:p>
            <w:pPr>
              <w:spacing w:before="0" w:after="0" w:line="4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总议案：除累积投票提案外的所有提案</w:t>
            </w:r>
          </w:p>
        </w:tc>
        <w:tc>
          <w:tcPr>
            <w:tcW w:w="2000" w:type="dxa"/>
            <w:tcBorders>
              <w:top w:val="single" w:color="auto" w:sz="2" w:space="0"/>
              <w:left w:val="single" w:color="auto" w:sz="2" w:space="0"/>
              <w:bottom w:val="single" w:color="auto" w:sz="2" w:space="0"/>
              <w:right w:val="single" w:color="auto" w:sz="2" w:space="0"/>
            </w:tcBorders>
            <w:vAlign w:val="center"/>
          </w:tcPr>
          <w:p>
            <w:pPr>
              <w:spacing w:before="0" w:after="0" w:line="4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非累积投票提案</w:t>
            </w:r>
          </w:p>
        </w:tc>
        <w:tc>
          <w:tcPr>
            <w:tcW w:w="2239" w:type="dxa"/>
            <w:tcBorders>
              <w:top w:val="single" w:color="auto" w:sz="2" w:space="0"/>
              <w:left w:val="single" w:color="auto" w:sz="2" w:space="0"/>
              <w:bottom w:val="single" w:color="auto" w:sz="2" w:space="0"/>
              <w:right w:val="single" w:color="auto" w:sz="2" w:space="0"/>
            </w:tcBorders>
            <w:vAlign w:val="center"/>
          </w:tcPr>
          <w:p>
            <w:pPr>
              <w:spacing w:before="0" w:after="0"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trPr>
        <w:tc>
          <w:tcPr>
            <w:tcW w:w="1400" w:type="dxa"/>
            <w:tcBorders>
              <w:top w:val="single" w:color="auto" w:sz="2" w:space="0"/>
              <w:left w:val="single" w:color="auto" w:sz="2" w:space="0"/>
              <w:bottom w:val="single" w:color="auto" w:sz="2" w:space="0"/>
              <w:right w:val="single" w:color="auto" w:sz="2" w:space="0"/>
            </w:tcBorders>
            <w:vAlign w:val="center"/>
          </w:tcPr>
          <w:p>
            <w:pPr>
              <w:spacing w:before="0" w:after="0"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1.00</w:t>
            </w:r>
          </w:p>
        </w:tc>
        <w:tc>
          <w:tcPr>
            <w:tcW w:w="4000" w:type="dxa"/>
            <w:tcBorders>
              <w:top w:val="single" w:color="auto" w:sz="2" w:space="0"/>
              <w:left w:val="single" w:color="auto" w:sz="2" w:space="0"/>
              <w:bottom w:val="single" w:color="auto" w:sz="2" w:space="0"/>
              <w:right w:val="single" w:color="auto" w:sz="2" w:space="0"/>
            </w:tcBorders>
            <w:vAlign w:val="center"/>
          </w:tcPr>
          <w:p>
            <w:pPr>
              <w:spacing w:before="0" w:after="0" w:line="4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关于部分募投项目节余募集资金永久补充流动资金的议案</w:t>
            </w:r>
          </w:p>
        </w:tc>
        <w:tc>
          <w:tcPr>
            <w:tcW w:w="2000" w:type="dxa"/>
            <w:tcBorders>
              <w:top w:val="single" w:color="auto" w:sz="2" w:space="0"/>
              <w:left w:val="single" w:color="auto" w:sz="2" w:space="0"/>
              <w:bottom w:val="single" w:color="auto" w:sz="2" w:space="0"/>
              <w:right w:val="single" w:color="auto" w:sz="2" w:space="0"/>
            </w:tcBorders>
            <w:vAlign w:val="center"/>
          </w:tcPr>
          <w:p>
            <w:pPr>
              <w:spacing w:before="0" w:after="0" w:line="4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非累积投票提案</w:t>
            </w:r>
          </w:p>
        </w:tc>
        <w:tc>
          <w:tcPr>
            <w:tcW w:w="2239" w:type="dxa"/>
            <w:tcBorders>
              <w:top w:val="single" w:color="auto" w:sz="2" w:space="0"/>
              <w:left w:val="single" w:color="auto" w:sz="2" w:space="0"/>
              <w:bottom w:val="single" w:color="auto" w:sz="2" w:space="0"/>
              <w:right w:val="single" w:color="auto" w:sz="2" w:space="0"/>
            </w:tcBorders>
            <w:vAlign w:val="center"/>
          </w:tcPr>
          <w:p>
            <w:pPr>
              <w:spacing w:before="0" w:after="0"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trPr>
        <w:tc>
          <w:tcPr>
            <w:tcW w:w="1400" w:type="dxa"/>
            <w:tcBorders>
              <w:top w:val="single" w:color="auto" w:sz="2" w:space="0"/>
              <w:left w:val="single" w:color="auto" w:sz="2" w:space="0"/>
              <w:bottom w:val="single" w:color="auto" w:sz="2" w:space="0"/>
              <w:right w:val="single" w:color="auto" w:sz="2" w:space="0"/>
            </w:tcBorders>
            <w:vAlign w:val="center"/>
          </w:tcPr>
          <w:p>
            <w:pPr>
              <w:spacing w:before="0" w:after="0"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2.00</w:t>
            </w:r>
          </w:p>
        </w:tc>
        <w:tc>
          <w:tcPr>
            <w:tcW w:w="4000" w:type="dxa"/>
            <w:tcBorders>
              <w:top w:val="single" w:color="auto" w:sz="2" w:space="0"/>
              <w:left w:val="single" w:color="auto" w:sz="2" w:space="0"/>
              <w:bottom w:val="single" w:color="auto" w:sz="2" w:space="0"/>
              <w:right w:val="single" w:color="auto" w:sz="2" w:space="0"/>
            </w:tcBorders>
            <w:vAlign w:val="center"/>
          </w:tcPr>
          <w:p>
            <w:pPr>
              <w:spacing w:before="0" w:after="0" w:line="4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关于公司2026年日常关联交易预计情况的议案</w:t>
            </w:r>
          </w:p>
        </w:tc>
        <w:tc>
          <w:tcPr>
            <w:tcW w:w="2000" w:type="dxa"/>
            <w:tcBorders>
              <w:top w:val="single" w:color="auto" w:sz="2" w:space="0"/>
              <w:left w:val="single" w:color="auto" w:sz="2" w:space="0"/>
              <w:bottom w:val="single" w:color="auto" w:sz="2" w:space="0"/>
              <w:right w:val="single" w:color="auto" w:sz="2" w:space="0"/>
            </w:tcBorders>
            <w:vAlign w:val="center"/>
          </w:tcPr>
          <w:p>
            <w:pPr>
              <w:spacing w:before="0" w:after="0" w:line="4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非累积投票提案</w:t>
            </w:r>
          </w:p>
        </w:tc>
        <w:tc>
          <w:tcPr>
            <w:tcW w:w="2239" w:type="dxa"/>
            <w:tcBorders>
              <w:top w:val="single" w:color="auto" w:sz="2" w:space="0"/>
              <w:left w:val="single" w:color="auto" w:sz="2" w:space="0"/>
              <w:bottom w:val="single" w:color="auto" w:sz="2" w:space="0"/>
              <w:right w:val="single" w:color="auto" w:sz="2" w:space="0"/>
            </w:tcBorders>
            <w:vAlign w:val="center"/>
          </w:tcPr>
          <w:p>
            <w:pPr>
              <w:spacing w:before="0" w:after="0"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trPr>
        <w:tc>
          <w:tcPr>
            <w:tcW w:w="1400" w:type="dxa"/>
            <w:tcBorders>
              <w:top w:val="single" w:color="auto" w:sz="2" w:space="0"/>
              <w:left w:val="single" w:color="auto" w:sz="2" w:space="0"/>
              <w:bottom w:val="single" w:color="auto" w:sz="2" w:space="0"/>
              <w:right w:val="single" w:color="auto" w:sz="2" w:space="0"/>
            </w:tcBorders>
            <w:vAlign w:val="center"/>
          </w:tcPr>
          <w:p>
            <w:pPr>
              <w:spacing w:before="0" w:after="0"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3.00</w:t>
            </w:r>
          </w:p>
        </w:tc>
        <w:tc>
          <w:tcPr>
            <w:tcW w:w="4000" w:type="dxa"/>
            <w:tcBorders>
              <w:top w:val="single" w:color="auto" w:sz="2" w:space="0"/>
              <w:left w:val="single" w:color="auto" w:sz="2" w:space="0"/>
              <w:bottom w:val="single" w:color="auto" w:sz="2" w:space="0"/>
              <w:right w:val="single" w:color="auto" w:sz="2" w:space="0"/>
            </w:tcBorders>
            <w:vAlign w:val="center"/>
          </w:tcPr>
          <w:p>
            <w:pPr>
              <w:spacing w:before="0" w:after="0" w:line="4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关于公司2026年存、贷款关联交易预计情况的议案</w:t>
            </w:r>
          </w:p>
        </w:tc>
        <w:tc>
          <w:tcPr>
            <w:tcW w:w="2000" w:type="dxa"/>
            <w:tcBorders>
              <w:top w:val="single" w:color="auto" w:sz="2" w:space="0"/>
              <w:left w:val="single" w:color="auto" w:sz="2" w:space="0"/>
              <w:bottom w:val="single" w:color="auto" w:sz="2" w:space="0"/>
              <w:right w:val="single" w:color="auto" w:sz="2" w:space="0"/>
            </w:tcBorders>
            <w:vAlign w:val="center"/>
          </w:tcPr>
          <w:p>
            <w:pPr>
              <w:spacing w:before="0" w:after="0" w:line="4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非累积投票提案</w:t>
            </w:r>
          </w:p>
        </w:tc>
        <w:tc>
          <w:tcPr>
            <w:tcW w:w="2239" w:type="dxa"/>
            <w:tcBorders>
              <w:top w:val="single" w:color="auto" w:sz="2" w:space="0"/>
              <w:left w:val="single" w:color="auto" w:sz="2" w:space="0"/>
              <w:bottom w:val="single" w:color="auto" w:sz="2" w:space="0"/>
              <w:right w:val="single" w:color="auto" w:sz="2" w:space="0"/>
            </w:tcBorders>
            <w:vAlign w:val="center"/>
          </w:tcPr>
          <w:p>
            <w:pPr>
              <w:spacing w:before="0" w:after="0"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trPr>
        <w:tc>
          <w:tcPr>
            <w:tcW w:w="1400" w:type="dxa"/>
            <w:tcBorders>
              <w:top w:val="single" w:color="auto" w:sz="2" w:space="0"/>
              <w:left w:val="single" w:color="auto" w:sz="2" w:space="0"/>
              <w:bottom w:val="single" w:color="auto" w:sz="2" w:space="0"/>
              <w:right w:val="single" w:color="auto" w:sz="2" w:space="0"/>
            </w:tcBorders>
            <w:vAlign w:val="center"/>
          </w:tcPr>
          <w:p>
            <w:pPr>
              <w:spacing w:before="0" w:after="0"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4.00</w:t>
            </w:r>
          </w:p>
        </w:tc>
        <w:tc>
          <w:tcPr>
            <w:tcW w:w="4000" w:type="dxa"/>
            <w:tcBorders>
              <w:top w:val="single" w:color="auto" w:sz="2" w:space="0"/>
              <w:left w:val="single" w:color="auto" w:sz="2" w:space="0"/>
              <w:bottom w:val="single" w:color="auto" w:sz="2" w:space="0"/>
              <w:right w:val="single" w:color="auto" w:sz="2" w:space="0"/>
            </w:tcBorders>
            <w:vAlign w:val="center"/>
          </w:tcPr>
          <w:p>
            <w:pPr>
              <w:spacing w:before="0" w:after="0" w:line="4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关于续聘2025年度</w:t>
            </w:r>
            <w:r>
              <w:rPr>
                <w:rFonts w:hint="eastAsia" w:cs="Times New Roman"/>
                <w:sz w:val="24"/>
                <w:szCs w:val="24"/>
                <w:lang w:eastAsia="zh-CN"/>
              </w:rPr>
              <w:t>财务</w:t>
            </w:r>
            <w:r>
              <w:rPr>
                <w:rFonts w:hint="default" w:ascii="Times New Roman" w:hAnsi="Times New Roman" w:eastAsia="宋体" w:cs="Times New Roman"/>
                <w:sz w:val="24"/>
                <w:szCs w:val="24"/>
              </w:rPr>
              <w:t>审计机构及其报酬事项的议案</w:t>
            </w:r>
          </w:p>
        </w:tc>
        <w:tc>
          <w:tcPr>
            <w:tcW w:w="2000" w:type="dxa"/>
            <w:tcBorders>
              <w:top w:val="single" w:color="auto" w:sz="2" w:space="0"/>
              <w:left w:val="single" w:color="auto" w:sz="2" w:space="0"/>
              <w:bottom w:val="single" w:color="auto" w:sz="2" w:space="0"/>
              <w:right w:val="single" w:color="auto" w:sz="2" w:space="0"/>
            </w:tcBorders>
            <w:vAlign w:val="center"/>
          </w:tcPr>
          <w:p>
            <w:pPr>
              <w:spacing w:before="0" w:after="0" w:line="4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非累积投票提案</w:t>
            </w:r>
          </w:p>
        </w:tc>
        <w:tc>
          <w:tcPr>
            <w:tcW w:w="2239" w:type="dxa"/>
            <w:tcBorders>
              <w:top w:val="single" w:color="auto" w:sz="2" w:space="0"/>
              <w:left w:val="single" w:color="auto" w:sz="2" w:space="0"/>
              <w:bottom w:val="single" w:color="auto" w:sz="2" w:space="0"/>
              <w:right w:val="single" w:color="auto" w:sz="2" w:space="0"/>
            </w:tcBorders>
            <w:vAlign w:val="center"/>
          </w:tcPr>
          <w:p>
            <w:pPr>
              <w:spacing w:before="0" w:after="0"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5" w:hRule="atLeast"/>
        </w:trPr>
        <w:tc>
          <w:tcPr>
            <w:tcW w:w="1400" w:type="dxa"/>
            <w:tcBorders>
              <w:top w:val="single" w:color="auto" w:sz="2" w:space="0"/>
              <w:left w:val="single" w:color="auto" w:sz="2" w:space="0"/>
              <w:bottom w:val="single" w:color="auto" w:sz="2" w:space="0"/>
              <w:right w:val="single" w:color="auto" w:sz="2" w:space="0"/>
            </w:tcBorders>
            <w:vAlign w:val="center"/>
          </w:tcPr>
          <w:p>
            <w:pPr>
              <w:spacing w:before="0" w:after="0"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5.00</w:t>
            </w:r>
          </w:p>
        </w:tc>
        <w:tc>
          <w:tcPr>
            <w:tcW w:w="4000" w:type="dxa"/>
            <w:tcBorders>
              <w:top w:val="single" w:color="auto" w:sz="2" w:space="0"/>
              <w:left w:val="single" w:color="auto" w:sz="2" w:space="0"/>
              <w:bottom w:val="single" w:color="auto" w:sz="2" w:space="0"/>
              <w:right w:val="single" w:color="auto" w:sz="2" w:space="0"/>
            </w:tcBorders>
            <w:vAlign w:val="center"/>
          </w:tcPr>
          <w:p>
            <w:pPr>
              <w:spacing w:before="0" w:after="0" w:line="4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关于聘请2025年度内部控制审计机构及其报酬事项的议案</w:t>
            </w:r>
          </w:p>
        </w:tc>
        <w:tc>
          <w:tcPr>
            <w:tcW w:w="2000" w:type="dxa"/>
            <w:tcBorders>
              <w:top w:val="single" w:color="auto" w:sz="2" w:space="0"/>
              <w:left w:val="single" w:color="auto" w:sz="2" w:space="0"/>
              <w:bottom w:val="single" w:color="auto" w:sz="2" w:space="0"/>
              <w:right w:val="single" w:color="auto" w:sz="2" w:space="0"/>
            </w:tcBorders>
            <w:vAlign w:val="center"/>
          </w:tcPr>
          <w:p>
            <w:pPr>
              <w:spacing w:before="0" w:after="0" w:line="4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非累积投票提案</w:t>
            </w:r>
          </w:p>
        </w:tc>
        <w:tc>
          <w:tcPr>
            <w:tcW w:w="2239" w:type="dxa"/>
            <w:tcBorders>
              <w:top w:val="single" w:color="auto" w:sz="2" w:space="0"/>
              <w:left w:val="single" w:color="auto" w:sz="2" w:space="0"/>
              <w:bottom w:val="single" w:color="auto" w:sz="2" w:space="0"/>
              <w:right w:val="single" w:color="auto" w:sz="2" w:space="0"/>
            </w:tcBorders>
            <w:vAlign w:val="center"/>
          </w:tcPr>
          <w:p>
            <w:pPr>
              <w:spacing w:before="0" w:after="0"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r>
    </w:tbl>
    <w:p>
      <w:pPr>
        <w:pStyle w:val="9"/>
        <w:keepNext w:val="0"/>
        <w:keepLines w:val="0"/>
        <w:widowControl/>
        <w:suppressLineNumbers w:val="0"/>
        <w:spacing w:before="0" w:beforeAutospacing="0" w:after="0" w:afterAutospacing="0" w:line="380" w:lineRule="atLeast"/>
        <w:ind w:left="482" w:right="0"/>
        <w:jc w:val="both"/>
        <w:rPr>
          <w:rFonts w:hint="default" w:ascii="Times New Roman" w:hAnsi="Times New Roman" w:cs="Times New Roman"/>
          <w:sz w:val="24"/>
          <w:szCs w:val="24"/>
        </w:rPr>
      </w:pPr>
      <w:r>
        <w:rPr>
          <w:rFonts w:hint="default" w:ascii="Times New Roman" w:hAnsi="Times New Roman" w:eastAsia="宋体" w:cs="Times New Roman"/>
          <w:color w:val="000000"/>
          <w:sz w:val="24"/>
          <w:szCs w:val="24"/>
        </w:rPr>
        <w:t>2．提案内容及披露情况</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2"/>
        <w:jc w:val="both"/>
        <w:textAlignment w:val="auto"/>
        <w:rPr>
          <w:rFonts w:hint="default" w:ascii="Times New Roman" w:hAnsi="Times New Roman" w:cs="Times New Roman"/>
          <w:b/>
          <w:bCs/>
          <w:sz w:val="24"/>
          <w:szCs w:val="24"/>
        </w:rPr>
      </w:pPr>
      <w:r>
        <w:rPr>
          <w:rFonts w:hint="default" w:ascii="Times New Roman" w:hAnsi="Times New Roman" w:eastAsia="宋体" w:cs="Times New Roman"/>
          <w:b/>
          <w:bCs/>
          <w:color w:val="000000"/>
          <w:sz w:val="24"/>
          <w:szCs w:val="24"/>
        </w:rPr>
        <w:t>（1）</w:t>
      </w:r>
      <w:r>
        <w:rPr>
          <w:rFonts w:hint="default" w:ascii="Times New Roman" w:hAnsi="Times New Roman" w:eastAsia="宋体" w:cs="Times New Roman"/>
          <w:b/>
          <w:bCs/>
          <w:color w:val="333333"/>
          <w:sz w:val="24"/>
          <w:szCs w:val="24"/>
          <w:shd w:val="clear" w:fill="FFFFFF"/>
        </w:rPr>
        <w:t>关于部分募投项目节余募集资金永久补充流动资金的议案</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default" w:ascii="Times New Roman" w:hAnsi="Times New Roman" w:cs="Times New Roman"/>
          <w:sz w:val="24"/>
          <w:szCs w:val="24"/>
        </w:rPr>
      </w:pPr>
      <w:r>
        <w:rPr>
          <w:rFonts w:hint="default" w:ascii="Times New Roman" w:hAnsi="Times New Roman" w:eastAsia="宋体" w:cs="Times New Roman"/>
          <w:color w:val="000000"/>
          <w:sz w:val="24"/>
          <w:szCs w:val="24"/>
        </w:rPr>
        <w:t>经公司第十一届董事会第二次会议审议通过，会议同意对向特定对象发行股票募集资金所投资的10个光伏项目进行结项，并将募投项目节余募集资金3,407.77万元以及现金管理收益和利息收入（预计不超过70万元，实际转出以资金转出日银行结息后的余额为准）永久补充流动资金。</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default" w:ascii="Times New Roman" w:hAnsi="Times New Roman" w:cs="Times New Roman"/>
          <w:sz w:val="24"/>
          <w:szCs w:val="24"/>
        </w:rPr>
      </w:pPr>
      <w:r>
        <w:rPr>
          <w:rFonts w:hint="default" w:ascii="Times New Roman" w:hAnsi="Times New Roman" w:eastAsia="宋体" w:cs="Times New Roman"/>
          <w:color w:val="000000"/>
          <w:sz w:val="24"/>
          <w:szCs w:val="24"/>
        </w:rPr>
        <w:t>具体内容详见公司同日在《中国证券报》《证券时报》及巨潮资讯网上披露的《关于部分募投项目节余募集资金永久补充流动资金的公告》（公告编号：2025-085）。</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2"/>
        <w:jc w:val="both"/>
        <w:textAlignment w:val="auto"/>
        <w:rPr>
          <w:rFonts w:hint="default" w:ascii="Times New Roman" w:hAnsi="Times New Roman" w:cs="Times New Roman"/>
          <w:b/>
          <w:bCs/>
          <w:sz w:val="24"/>
          <w:szCs w:val="24"/>
        </w:rPr>
      </w:pPr>
      <w:r>
        <w:rPr>
          <w:rFonts w:hint="default" w:ascii="Times New Roman" w:hAnsi="Times New Roman" w:eastAsia="宋体" w:cs="Times New Roman"/>
          <w:b/>
          <w:bCs/>
          <w:color w:val="000000"/>
          <w:sz w:val="24"/>
          <w:szCs w:val="24"/>
        </w:rPr>
        <w:t>（2）</w:t>
      </w:r>
      <w:r>
        <w:rPr>
          <w:rFonts w:hint="default" w:ascii="Times New Roman" w:hAnsi="Times New Roman" w:eastAsia="宋体" w:cs="Times New Roman"/>
          <w:b/>
          <w:bCs/>
          <w:color w:val="333333"/>
          <w:sz w:val="24"/>
          <w:szCs w:val="24"/>
          <w:shd w:val="clear" w:fill="FFFFFF"/>
        </w:rPr>
        <w:t>关于公司2026年日常关联交易预计情况的议案</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default" w:ascii="Times New Roman" w:hAnsi="Times New Roman" w:eastAsia="宋体" w:cs="Times New Roman"/>
          <w:color w:val="000000"/>
          <w:sz w:val="24"/>
          <w:szCs w:val="24"/>
        </w:rPr>
      </w:pPr>
      <w:r>
        <w:rPr>
          <w:rFonts w:hint="default" w:ascii="Times New Roman" w:hAnsi="Times New Roman" w:cs="Times New Roman"/>
          <w:color w:val="000000"/>
          <w:sz w:val="24"/>
          <w:highlight w:val="none"/>
          <w:lang w:eastAsia="zh-CN"/>
        </w:rPr>
        <w:t>该议案属关联交易事项，</w:t>
      </w:r>
      <w:r>
        <w:rPr>
          <w:rFonts w:hint="eastAsia" w:ascii="Times New Roman" w:hAnsi="Times New Roman" w:cs="Times New Roman"/>
          <w:color w:val="000000"/>
          <w:sz w:val="24"/>
          <w:highlight w:val="none"/>
          <w:lang w:eastAsia="zh-CN"/>
        </w:rPr>
        <w:t>已经公司</w:t>
      </w:r>
      <w:r>
        <w:rPr>
          <w:rFonts w:hint="eastAsia" w:ascii="Times New Roman" w:hAnsi="Times New Roman" w:cs="Times New Roman"/>
          <w:color w:val="000000"/>
          <w:sz w:val="24"/>
          <w:highlight w:val="none"/>
          <w:lang w:val="en-US" w:eastAsia="zh-CN"/>
        </w:rPr>
        <w:t>2025年第六次独立董事专门会议及</w:t>
      </w:r>
      <w:r>
        <w:rPr>
          <w:rFonts w:hint="default" w:ascii="Times New Roman" w:hAnsi="Times New Roman" w:eastAsia="宋体" w:cs="Times New Roman"/>
          <w:color w:val="000000"/>
          <w:sz w:val="24"/>
          <w:szCs w:val="24"/>
        </w:rPr>
        <w:t>第十一届董事会第二次会议审议通过，会议同意公司2026年日常关联交易预计总额为1,036,805万元。</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default" w:ascii="Times New Roman" w:hAnsi="Times New Roman" w:cs="Times New Roman"/>
          <w:sz w:val="24"/>
          <w:szCs w:val="24"/>
        </w:rPr>
      </w:pPr>
      <w:r>
        <w:rPr>
          <w:rFonts w:hint="default" w:ascii="Times New Roman" w:hAnsi="Times New Roman" w:eastAsia="宋体" w:cs="Times New Roman"/>
          <w:color w:val="000000"/>
          <w:sz w:val="24"/>
          <w:szCs w:val="24"/>
        </w:rPr>
        <w:t>具体内容详见公司同日在《中国证券报》《证券时报》及巨潮资讯网上披露的《关于2026年日常关联交易预计情况的公告》（公告编号：2025-087）。</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2"/>
        <w:jc w:val="both"/>
        <w:textAlignment w:val="auto"/>
        <w:rPr>
          <w:rFonts w:hint="default" w:ascii="Times New Roman" w:hAnsi="Times New Roman" w:cs="Times New Roman"/>
          <w:b/>
          <w:bCs/>
          <w:sz w:val="24"/>
          <w:szCs w:val="24"/>
        </w:rPr>
      </w:pPr>
      <w:r>
        <w:rPr>
          <w:rFonts w:hint="default" w:ascii="Times New Roman" w:hAnsi="Times New Roman" w:eastAsia="宋体" w:cs="Times New Roman"/>
          <w:b/>
          <w:bCs/>
          <w:color w:val="000000"/>
          <w:sz w:val="24"/>
          <w:szCs w:val="24"/>
        </w:rPr>
        <w:t>（3）</w:t>
      </w:r>
      <w:r>
        <w:rPr>
          <w:rFonts w:hint="default" w:ascii="Times New Roman" w:hAnsi="Times New Roman" w:eastAsia="宋体" w:cs="Times New Roman"/>
          <w:b/>
          <w:bCs/>
          <w:color w:val="333333"/>
          <w:sz w:val="24"/>
          <w:szCs w:val="24"/>
          <w:shd w:val="clear" w:fill="FFFFFF"/>
        </w:rPr>
        <w:t>关于公司2026年存、贷款关联交易预计情况的议案</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Times New Roman" w:hAnsi="Times New Roman" w:eastAsia="宋体" w:cs="Times New Roman"/>
          <w:sz w:val="24"/>
          <w:szCs w:val="24"/>
          <w:lang w:eastAsia="zh-CN"/>
        </w:rPr>
      </w:pPr>
      <w:r>
        <w:rPr>
          <w:rFonts w:hint="default" w:ascii="Times New Roman" w:hAnsi="Times New Roman" w:cs="Times New Roman"/>
          <w:color w:val="000000"/>
          <w:sz w:val="24"/>
          <w:highlight w:val="none"/>
          <w:lang w:eastAsia="zh-CN"/>
        </w:rPr>
        <w:t>该议案属关联交易事项，</w:t>
      </w:r>
      <w:r>
        <w:rPr>
          <w:rFonts w:hint="eastAsia" w:ascii="Times New Roman" w:hAnsi="Times New Roman" w:cs="Times New Roman"/>
          <w:color w:val="000000"/>
          <w:sz w:val="24"/>
          <w:highlight w:val="none"/>
          <w:lang w:eastAsia="zh-CN"/>
        </w:rPr>
        <w:t>已经公司</w:t>
      </w:r>
      <w:r>
        <w:rPr>
          <w:rFonts w:hint="eastAsia" w:ascii="Times New Roman" w:hAnsi="Times New Roman" w:cs="Times New Roman"/>
          <w:color w:val="000000"/>
          <w:sz w:val="24"/>
          <w:highlight w:val="none"/>
          <w:lang w:val="en-US" w:eastAsia="zh-CN"/>
        </w:rPr>
        <w:t>2025年第六次独立董事专门会议及</w:t>
      </w:r>
      <w:r>
        <w:rPr>
          <w:rFonts w:hint="default" w:ascii="Times New Roman" w:hAnsi="Times New Roman" w:eastAsia="宋体" w:cs="Times New Roman"/>
          <w:color w:val="000000"/>
          <w:sz w:val="24"/>
          <w:szCs w:val="24"/>
        </w:rPr>
        <w:t>第十一届董事会第二次会议审议通过，会议同意公司2026年存、贷款关联交易预计情况，预计2026年公司及控股子公司在财务公司每日最高存款限额为40亿元，预计2026年财务公司向公司及控股子公司提供的直接贷款、票据承兑及贴现、非融资性保函合计每日余额不高于200亿元</w:t>
      </w:r>
      <w:r>
        <w:rPr>
          <w:rFonts w:hint="eastAsia" w:ascii="Times New Roman" w:hAnsi="Times New Roman" w:eastAsia="宋体" w:cs="Times New Roman"/>
          <w:color w:val="000000"/>
          <w:sz w:val="24"/>
          <w:szCs w:val="24"/>
          <w:lang w:eastAsia="zh-CN"/>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default" w:ascii="Times New Roman" w:hAnsi="Times New Roman" w:cs="Times New Roman"/>
          <w:sz w:val="24"/>
          <w:szCs w:val="24"/>
        </w:rPr>
      </w:pPr>
      <w:r>
        <w:rPr>
          <w:rFonts w:hint="default" w:ascii="Times New Roman" w:hAnsi="Times New Roman" w:eastAsia="宋体" w:cs="Times New Roman"/>
          <w:color w:val="000000"/>
          <w:sz w:val="24"/>
          <w:szCs w:val="24"/>
        </w:rPr>
        <w:t>具体内容详见公司同日在《中国证券报》《证券时报》及巨潮资讯网上披露的《关于2026年存、贷款关联交易预计情况的公告》（公告编号：2025-088）。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2"/>
        <w:jc w:val="both"/>
        <w:textAlignment w:val="auto"/>
        <w:rPr>
          <w:rFonts w:hint="default" w:ascii="Times New Roman" w:hAnsi="Times New Roman" w:cs="Times New Roman"/>
          <w:b/>
          <w:bCs/>
          <w:sz w:val="24"/>
          <w:szCs w:val="24"/>
        </w:rPr>
      </w:pPr>
      <w:r>
        <w:rPr>
          <w:rFonts w:hint="default" w:ascii="Times New Roman" w:hAnsi="Times New Roman" w:eastAsia="宋体" w:cs="Times New Roman"/>
          <w:b/>
          <w:bCs/>
          <w:color w:val="000000"/>
          <w:sz w:val="24"/>
          <w:szCs w:val="24"/>
        </w:rPr>
        <w:t>（4）</w:t>
      </w:r>
      <w:r>
        <w:rPr>
          <w:rFonts w:hint="default" w:ascii="Times New Roman" w:hAnsi="Times New Roman" w:eastAsia="宋体" w:cs="Times New Roman"/>
          <w:b/>
          <w:bCs/>
          <w:color w:val="333333"/>
          <w:sz w:val="24"/>
          <w:szCs w:val="24"/>
          <w:shd w:val="clear" w:fill="FFFFFF"/>
        </w:rPr>
        <w:t>关于续聘2025年度</w:t>
      </w:r>
      <w:r>
        <w:rPr>
          <w:rFonts w:hint="eastAsia" w:cs="Times New Roman"/>
          <w:b/>
          <w:bCs/>
          <w:color w:val="333333"/>
          <w:sz w:val="24"/>
          <w:szCs w:val="24"/>
          <w:shd w:val="clear" w:fill="FFFFFF"/>
          <w:lang w:val="en-US" w:eastAsia="zh-CN"/>
        </w:rPr>
        <w:t>财务</w:t>
      </w:r>
      <w:r>
        <w:rPr>
          <w:rFonts w:hint="default" w:ascii="Times New Roman" w:hAnsi="Times New Roman" w:eastAsia="宋体" w:cs="Times New Roman"/>
          <w:b/>
          <w:bCs/>
          <w:color w:val="333333"/>
          <w:sz w:val="24"/>
          <w:szCs w:val="24"/>
          <w:shd w:val="clear" w:fill="FFFFFF"/>
        </w:rPr>
        <w:t>审计机构及其报酬事项的议案</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default" w:ascii="Times New Roman" w:hAnsi="Times New Roman" w:cs="Times New Roman"/>
          <w:sz w:val="24"/>
          <w:szCs w:val="24"/>
        </w:rPr>
      </w:pPr>
      <w:r>
        <w:rPr>
          <w:rFonts w:hint="default" w:ascii="Times New Roman" w:hAnsi="Times New Roman" w:eastAsia="宋体" w:cs="Times New Roman"/>
          <w:color w:val="000000"/>
          <w:sz w:val="24"/>
          <w:szCs w:val="24"/>
        </w:rPr>
        <w:t>经公司第十一届董事会第二次会议审议通过，会议同意续聘中兴华会计师事务所（特殊普通合伙）为公司2025年度财务审计机构，负责公司及合并报表范围的子公司2025年度财务决算审计及财务咨询等业务，审计费用为140万元。</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default" w:ascii="Times New Roman" w:hAnsi="Times New Roman" w:cs="Times New Roman"/>
          <w:sz w:val="24"/>
          <w:szCs w:val="24"/>
        </w:rPr>
      </w:pPr>
      <w:r>
        <w:rPr>
          <w:rFonts w:hint="default" w:ascii="Times New Roman" w:hAnsi="Times New Roman" w:eastAsia="宋体" w:cs="Times New Roman"/>
          <w:color w:val="000000"/>
          <w:sz w:val="24"/>
          <w:szCs w:val="24"/>
        </w:rPr>
        <w:t>具体内容详见公司同日在《中国证券报》《证券时报》及巨潮资讯网上披露的《</w:t>
      </w:r>
      <w:r>
        <w:rPr>
          <w:rFonts w:hint="default" w:ascii="Times New Roman" w:hAnsi="Times New Roman" w:eastAsia="宋体" w:cs="Times New Roman"/>
          <w:b w:val="0"/>
          <w:bCs w:val="0"/>
          <w:color w:val="000000"/>
          <w:sz w:val="24"/>
          <w:szCs w:val="24"/>
        </w:rPr>
        <w:t>关于拟续聘财务审计会计师事务所的公告</w:t>
      </w:r>
      <w:r>
        <w:rPr>
          <w:rFonts w:hint="default" w:ascii="Times New Roman" w:hAnsi="Times New Roman" w:eastAsia="宋体" w:cs="Times New Roman"/>
          <w:color w:val="000000"/>
          <w:sz w:val="24"/>
          <w:szCs w:val="24"/>
        </w:rPr>
        <w:t>》（公告编号：2025-089）。</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2"/>
        <w:jc w:val="both"/>
        <w:textAlignment w:val="auto"/>
        <w:rPr>
          <w:rFonts w:hint="default" w:ascii="Times New Roman" w:hAnsi="Times New Roman" w:cs="Times New Roman"/>
          <w:b/>
          <w:bCs/>
          <w:sz w:val="24"/>
          <w:szCs w:val="24"/>
        </w:rPr>
      </w:pPr>
      <w:r>
        <w:rPr>
          <w:rFonts w:hint="default" w:ascii="Times New Roman" w:hAnsi="Times New Roman" w:eastAsia="宋体" w:cs="Times New Roman"/>
          <w:b/>
          <w:bCs/>
          <w:color w:val="000000"/>
          <w:sz w:val="24"/>
          <w:szCs w:val="24"/>
        </w:rPr>
        <w:t>（5）</w:t>
      </w:r>
      <w:r>
        <w:rPr>
          <w:rFonts w:hint="default" w:ascii="Times New Roman" w:hAnsi="Times New Roman" w:eastAsia="宋体" w:cs="Times New Roman"/>
          <w:b/>
          <w:bCs/>
          <w:color w:val="333333"/>
          <w:sz w:val="24"/>
          <w:szCs w:val="24"/>
          <w:shd w:val="clear" w:fill="FFFFFF"/>
        </w:rPr>
        <w:t>关于聘请2025年度内部控制审计机构及其报酬事项的议案</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default" w:ascii="Times New Roman" w:hAnsi="Times New Roman" w:cs="Times New Roman"/>
          <w:sz w:val="24"/>
          <w:szCs w:val="24"/>
        </w:rPr>
      </w:pPr>
      <w:r>
        <w:rPr>
          <w:rFonts w:hint="default" w:ascii="Times New Roman" w:hAnsi="Times New Roman" w:eastAsia="宋体" w:cs="Times New Roman"/>
          <w:color w:val="000000"/>
          <w:sz w:val="24"/>
          <w:szCs w:val="24"/>
        </w:rPr>
        <w:t>经公司第十一届董事会第二次会议审议通过，会议同意聘请中审亚太会计师事务所（特殊普通合伙）作为公司2025年度内部控制审计项目的审计机构，审计费用为37万元。</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default" w:ascii="Times New Roman" w:hAnsi="Times New Roman" w:cs="Times New Roman"/>
          <w:sz w:val="24"/>
          <w:szCs w:val="24"/>
        </w:rPr>
      </w:pPr>
      <w:r>
        <w:rPr>
          <w:rFonts w:hint="default" w:ascii="Times New Roman" w:hAnsi="Times New Roman" w:eastAsia="宋体" w:cs="Times New Roman"/>
          <w:color w:val="000000"/>
          <w:sz w:val="24"/>
          <w:szCs w:val="24"/>
        </w:rPr>
        <w:t>具体内容详见公司同日在《中国证券报》《证券时报》及巨潮资讯网上披露的《</w:t>
      </w:r>
      <w:r>
        <w:rPr>
          <w:rFonts w:hint="default" w:ascii="Times New Roman" w:hAnsi="Times New Roman" w:eastAsia="宋体" w:cs="Times New Roman"/>
          <w:b w:val="0"/>
          <w:bCs w:val="0"/>
          <w:color w:val="000000"/>
          <w:sz w:val="24"/>
          <w:szCs w:val="24"/>
        </w:rPr>
        <w:t>关于拟变更内部控制审计会计师事务所的公告</w:t>
      </w:r>
      <w:r>
        <w:rPr>
          <w:rFonts w:hint="default" w:ascii="Times New Roman" w:hAnsi="Times New Roman" w:eastAsia="宋体" w:cs="Times New Roman"/>
          <w:color w:val="000000"/>
          <w:sz w:val="24"/>
          <w:szCs w:val="24"/>
        </w:rPr>
        <w:t>》（公告编号：2025-090）。</w:t>
      </w:r>
    </w:p>
    <w:p>
      <w:pPr>
        <w:pStyle w:val="3"/>
        <w:keepNext/>
        <w:keepLines/>
        <w:spacing w:before="300" w:after="300" w:line="400" w:lineRule="exact"/>
        <w:ind w:firstLine="560" w:firstLineChars="200"/>
        <w:jc w:val="left"/>
        <w:outlineLvl w:val="1"/>
        <w:rPr>
          <w:rFonts w:hint="default" w:ascii="Times New Roman" w:hAnsi="Times New Roman" w:eastAsia="宋体" w:cs="Times New Roman"/>
          <w:b/>
          <w:bCs/>
          <w:sz w:val="28"/>
          <w:szCs w:val="28"/>
        </w:rPr>
      </w:pPr>
      <w:bookmarkStart w:id="2" w:name="_Toc988891"/>
      <w:r>
        <w:rPr>
          <w:rFonts w:hint="default" w:ascii="Times New Roman" w:hAnsi="Times New Roman" w:eastAsia="宋体" w:cs="Times New Roman"/>
          <w:b/>
          <w:bCs/>
          <w:sz w:val="28"/>
          <w:szCs w:val="28"/>
        </w:rPr>
        <w:t>三、会议登记等事项</w:t>
      </w:r>
      <w:bookmarkEnd w:id="2"/>
    </w:p>
    <w:p>
      <w:pPr>
        <w:pStyle w:val="9"/>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color w:val="000000"/>
          <w:sz w:val="24"/>
          <w:szCs w:val="24"/>
        </w:rPr>
        <w:t>1．法人股东持单位证明、工商营业执照复印件、股东账户卡、法定代表人授权委托书及出席人身份证办理登记手续；个人股东持本人身份证、股东账户卡及股权登记日的股份证明办理登记手续；拟现场出席会议的股东请于2025年12月19日（星期五）上午8:30~11:30、下午2:00~5:00，到湖北省武汉市洪山区徐东大街63号国家能源大厦2911室办理登记手续；异地股东可通过传真方式进行登记。股东代理人出席股东会，应按本通知附件2的格式填写授权委托书，并在会前提交公司。</w:t>
      </w:r>
    </w:p>
    <w:p>
      <w:pPr>
        <w:pStyle w:val="9"/>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color w:val="000000"/>
          <w:sz w:val="24"/>
          <w:szCs w:val="24"/>
        </w:rPr>
        <w:t>2．与会股东食宿与交通费自理。</w:t>
      </w:r>
    </w:p>
    <w:p>
      <w:pPr>
        <w:pStyle w:val="9"/>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color w:val="000000"/>
          <w:sz w:val="24"/>
          <w:szCs w:val="24"/>
        </w:rPr>
        <w:t>3．会议联系方式：</w:t>
      </w:r>
    </w:p>
    <w:p>
      <w:pPr>
        <w:pStyle w:val="9"/>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color w:val="000000"/>
          <w:sz w:val="24"/>
          <w:szCs w:val="24"/>
        </w:rPr>
        <w:t>联系人：杨顺；联系电话：027-88717133；电子邮箱：12007863@ceic.com；传真：027-88717134。</w:t>
      </w:r>
    </w:p>
    <w:p>
      <w:pPr>
        <w:pStyle w:val="3"/>
        <w:keepNext/>
        <w:keepLines/>
        <w:spacing w:before="300" w:after="300" w:line="400" w:lineRule="exact"/>
        <w:ind w:firstLine="560" w:firstLineChars="200"/>
        <w:jc w:val="left"/>
        <w:outlineLvl w:val="1"/>
        <w:rPr>
          <w:rFonts w:hint="default" w:ascii="Times New Roman" w:hAnsi="Times New Roman" w:eastAsia="宋体" w:cs="Times New Roman"/>
          <w:b/>
          <w:bCs/>
          <w:sz w:val="28"/>
          <w:szCs w:val="28"/>
        </w:rPr>
      </w:pPr>
      <w:bookmarkStart w:id="3" w:name="_Toc988892"/>
      <w:r>
        <w:rPr>
          <w:rFonts w:hint="default" w:ascii="Times New Roman" w:hAnsi="Times New Roman" w:eastAsia="宋体" w:cs="Times New Roman"/>
          <w:b/>
          <w:bCs/>
          <w:sz w:val="28"/>
          <w:szCs w:val="28"/>
        </w:rPr>
        <w:t>四、参加网络投票的具体操作流程</w:t>
      </w:r>
      <w:bookmarkEnd w:id="3"/>
    </w:p>
    <w:p>
      <w:pPr>
        <w:pStyle w:val="9"/>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本次股东会上，公司将向股东提供网络平台，股东可以通过深交所交易系统和互联网投票系统（http://wltp.cninfo.com.cn）参加投票，网络投票的具体操作流程见附件1。</w:t>
      </w:r>
    </w:p>
    <w:p>
      <w:pPr>
        <w:pStyle w:val="3"/>
        <w:keepNext/>
        <w:keepLines/>
        <w:spacing w:before="300" w:after="300" w:line="400" w:lineRule="exact"/>
        <w:ind w:firstLine="560" w:firstLineChars="200"/>
        <w:jc w:val="left"/>
        <w:outlineLvl w:val="1"/>
        <w:rPr>
          <w:rFonts w:hint="default" w:ascii="Times New Roman" w:hAnsi="Times New Roman" w:eastAsia="宋体" w:cs="Times New Roman"/>
          <w:b/>
          <w:bCs/>
          <w:sz w:val="28"/>
          <w:szCs w:val="28"/>
        </w:rPr>
      </w:pPr>
      <w:bookmarkStart w:id="4" w:name="_Toc988893"/>
      <w:r>
        <w:rPr>
          <w:rFonts w:hint="default" w:ascii="Times New Roman" w:hAnsi="Times New Roman" w:eastAsia="宋体" w:cs="Times New Roman"/>
          <w:b/>
          <w:bCs/>
          <w:sz w:val="28"/>
          <w:szCs w:val="28"/>
        </w:rPr>
        <w:t>五、备查文件</w:t>
      </w:r>
      <w:bookmarkEnd w:id="4"/>
    </w:p>
    <w:p>
      <w:pPr>
        <w:pStyle w:val="9"/>
        <w:keepNext w:val="0"/>
        <w:keepLines w:val="0"/>
        <w:widowControl/>
        <w:suppressLineNumbers w:val="0"/>
        <w:spacing w:before="0" w:beforeAutospacing="0" w:after="0" w:afterAutospacing="0"/>
        <w:ind w:left="0" w:right="0" w:firstLine="480" w:firstLineChars="200"/>
        <w:jc w:val="both"/>
        <w:rPr>
          <w:rFonts w:hint="default" w:ascii="Times New Roman" w:hAnsi="Times New Roman" w:cs="Times New Roman"/>
          <w:sz w:val="21"/>
          <w:szCs w:val="21"/>
        </w:rPr>
      </w:pPr>
      <w:r>
        <w:rPr>
          <w:rFonts w:hint="default" w:ascii="Times New Roman" w:hAnsi="Times New Roman" w:eastAsia="宋体" w:cs="Times New Roman"/>
          <w:color w:val="000000"/>
          <w:sz w:val="24"/>
          <w:szCs w:val="24"/>
        </w:rPr>
        <w:t>公司第十一届董事会第二次会议决议。</w:t>
      </w:r>
    </w:p>
    <w:p>
      <w:pPr>
        <w:spacing w:before="0" w:after="0" w:line="400" w:lineRule="exact"/>
        <w:ind w:firstLine="420" w:firstLineChars="200"/>
        <w:jc w:val="left"/>
        <w:rPr>
          <w:rFonts w:hint="default" w:ascii="Times New Roman" w:hAnsi="Times New Roman" w:eastAsia="宋体" w:cs="Times New Roman"/>
          <w:sz w:val="21"/>
          <w:szCs w:val="21"/>
        </w:rPr>
      </w:pPr>
    </w:p>
    <w:p>
      <w:pPr>
        <w:spacing w:before="0" w:after="0" w:line="400" w:lineRule="exact"/>
        <w:ind w:firstLine="480" w:firstLineChars="20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特此公告。</w:t>
      </w:r>
    </w:p>
    <w:p>
      <w:pPr>
        <w:spacing w:before="100" w:after="100" w:line="560" w:lineRule="exact"/>
        <w:jc w:val="righ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国家能源集团长源电力股份有限公司董事会</w:t>
      </w:r>
    </w:p>
    <w:p>
      <w:pPr>
        <w:spacing w:before="100" w:after="100" w:line="560" w:lineRule="exact"/>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2025年12月</w:t>
      </w:r>
      <w:r>
        <w:rPr>
          <w:rFonts w:hint="eastAsia" w:cs="Times New Roman"/>
          <w:sz w:val="24"/>
          <w:szCs w:val="24"/>
          <w:lang w:val="en-US" w:eastAsia="zh-CN"/>
        </w:rPr>
        <w:t>5</w:t>
      </w:r>
      <w:r>
        <w:rPr>
          <w:rFonts w:hint="default" w:ascii="Times New Roman" w:hAnsi="Times New Roman" w:eastAsia="宋体" w:cs="Times New Roman"/>
          <w:sz w:val="24"/>
          <w:szCs w:val="24"/>
        </w:rPr>
        <w:t>日</w:t>
      </w:r>
    </w:p>
    <w:p>
      <w:pPr>
        <w:spacing w:before="100" w:after="100" w:line="560" w:lineRule="exact"/>
        <w:jc w:val="right"/>
        <w:rPr>
          <w:rFonts w:hint="default" w:ascii="Times New Roman" w:hAnsi="Times New Roman" w:eastAsia="宋体" w:cs="Times New Roman"/>
          <w:sz w:val="24"/>
          <w:szCs w:val="24"/>
        </w:rPr>
        <w:sectPr>
          <w:pgSz w:w="11905" w:h="16840"/>
          <w:pgMar w:top="1440" w:right="1134" w:bottom="1440" w:left="1134" w:header="850" w:footer="992" w:gutter="0"/>
          <w:cols w:space="720" w:num="1"/>
          <w:docGrid w:type="linesAndChars" w:linePitch="312" w:charSpace="0"/>
        </w:sectPr>
      </w:pPr>
    </w:p>
    <w:p>
      <w:pPr>
        <w:widowControl/>
        <w:jc w:val="left"/>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附件1</w:t>
      </w:r>
    </w:p>
    <w:p>
      <w:pPr>
        <w:spacing w:line="380" w:lineRule="exact"/>
        <w:jc w:val="center"/>
        <w:rPr>
          <w:rFonts w:hint="default" w:ascii="Times New Roman" w:hAnsi="Times New Roman" w:eastAsia="方正小标宋简体" w:cs="Times New Roman"/>
          <w:bCs/>
          <w:color w:val="000000"/>
          <w:sz w:val="32"/>
          <w:szCs w:val="32"/>
        </w:rPr>
      </w:pPr>
      <w:r>
        <w:rPr>
          <w:rFonts w:hint="default" w:ascii="Times New Roman" w:hAnsi="Times New Roman" w:eastAsia="方正小标宋简体" w:cs="Times New Roman"/>
          <w:bCs/>
          <w:color w:val="000000"/>
          <w:sz w:val="32"/>
          <w:szCs w:val="32"/>
        </w:rPr>
        <w:t>参加网络投票的</w:t>
      </w:r>
      <w:bookmarkStart w:id="5" w:name="_GoBack"/>
      <w:bookmarkEnd w:id="5"/>
      <w:r>
        <w:rPr>
          <w:rFonts w:hint="default" w:ascii="Times New Roman" w:hAnsi="Times New Roman" w:eastAsia="方正小标宋简体" w:cs="Times New Roman"/>
          <w:bCs/>
          <w:color w:val="000000"/>
          <w:sz w:val="32"/>
          <w:szCs w:val="32"/>
        </w:rPr>
        <w:t>具体操作流程</w:t>
      </w:r>
    </w:p>
    <w:p>
      <w:pPr>
        <w:spacing w:line="380" w:lineRule="exact"/>
        <w:jc w:val="center"/>
        <w:rPr>
          <w:rFonts w:hint="default" w:ascii="Times New Roman" w:hAnsi="Times New Roman" w:eastAsia="方正小标宋简体" w:cs="Times New Roman"/>
          <w:bCs/>
          <w:color w:val="000000"/>
          <w:sz w:val="32"/>
          <w:szCs w:val="32"/>
        </w:rPr>
      </w:pPr>
    </w:p>
    <w:p>
      <w:pPr>
        <w:spacing w:line="380" w:lineRule="exact"/>
        <w:ind w:firstLine="361" w:firstLineChars="150"/>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一、网络投票的程序</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1.</w:t>
      </w:r>
      <w:r>
        <w:rPr>
          <w:rFonts w:hint="default" w:ascii="Times New Roman" w:hAnsi="Times New Roman" w:cs="Times New Roman"/>
          <w:color w:val="000000"/>
          <w:sz w:val="24"/>
          <w:szCs w:val="24"/>
          <w:highlight w:val="none"/>
          <w:lang w:val="en-US" w:eastAsia="zh-CN"/>
        </w:rPr>
        <w:t xml:space="preserve"> </w:t>
      </w:r>
      <w:r>
        <w:rPr>
          <w:rFonts w:hint="default" w:ascii="Times New Roman" w:hAnsi="Times New Roman" w:cs="Times New Roman"/>
          <w:color w:val="000000"/>
          <w:sz w:val="24"/>
          <w:szCs w:val="24"/>
          <w:highlight w:val="none"/>
        </w:rPr>
        <w:t>投票代码：360966，投票简称：长源投票。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2.</w:t>
      </w:r>
      <w:r>
        <w:rPr>
          <w:rFonts w:hint="default" w:ascii="Times New Roman" w:hAnsi="Times New Roman" w:cs="Times New Roman"/>
          <w:color w:val="000000"/>
          <w:sz w:val="24"/>
          <w:szCs w:val="24"/>
          <w:highlight w:val="none"/>
          <w:lang w:val="en-US" w:eastAsia="zh-CN"/>
        </w:rPr>
        <w:t xml:space="preserve"> </w:t>
      </w:r>
      <w:r>
        <w:rPr>
          <w:rFonts w:hint="default" w:ascii="Times New Roman" w:hAnsi="Times New Roman" w:cs="Times New Roman"/>
          <w:color w:val="000000"/>
          <w:sz w:val="24"/>
          <w:szCs w:val="24"/>
          <w:highlight w:val="none"/>
        </w:rPr>
        <w:t>填报表决意见或选举票数。</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对于非累积投票提案，填报表决意见：同意、反对、弃权。</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color w:val="000000"/>
          <w:sz w:val="24"/>
          <w:szCs w:val="24"/>
          <w:highlight w:val="none"/>
        </w:rPr>
        <w:t>（本次股东会无累积投票提案）</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股东对总议案进行投票，视为对除累积投票提案外的其他所有提案表达相同意见。</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股东对总议案与具体提案重复投票时，以第一次有效投票为准。如股东先对具体提案投票表决，再对总议案投票表决，则以已投票表决的具体提案的表决意见为准，其他未表决的提案以总议案的表决意见为准；如先对总议案投票表决，再对具体提案投票表决，则以总议案的表决意见为准。</w:t>
      </w:r>
    </w:p>
    <w:p>
      <w:pPr>
        <w:spacing w:line="380" w:lineRule="exact"/>
        <w:ind w:firstLine="482" w:firstLineChars="200"/>
        <w:contextualSpacing/>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二、通过深交所交易系统投票的程序</w:t>
      </w:r>
    </w:p>
    <w:p>
      <w:pPr>
        <w:spacing w:line="380" w:lineRule="exact"/>
        <w:ind w:firstLine="480" w:firstLineChars="200"/>
        <w:contextualSpacing/>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 投票时间：</w:t>
      </w:r>
      <w:r>
        <w:rPr>
          <w:rFonts w:hint="default" w:ascii="Times New Roman" w:hAnsi="Times New Roman" w:cs="Times New Roman"/>
          <w:sz w:val="24"/>
          <w:szCs w:val="24"/>
        </w:rPr>
        <w:t>2025年</w:t>
      </w:r>
      <w:r>
        <w:rPr>
          <w:rFonts w:hint="eastAsia" w:ascii="Times New Roman" w:hAnsi="Times New Roman" w:cs="Times New Roman"/>
          <w:sz w:val="24"/>
          <w:szCs w:val="24"/>
          <w:lang w:val="en-US" w:eastAsia="zh-CN"/>
        </w:rPr>
        <w:t>12</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22</w:t>
      </w:r>
      <w:r>
        <w:rPr>
          <w:rFonts w:hint="default" w:ascii="Times New Roman" w:hAnsi="Times New Roman" w:cs="Times New Roman"/>
          <w:sz w:val="24"/>
          <w:szCs w:val="24"/>
        </w:rPr>
        <w:t>日（星期</w:t>
      </w:r>
      <w:r>
        <w:rPr>
          <w:rFonts w:hint="eastAsia" w:ascii="Times New Roman" w:hAnsi="Times New Roman" w:cs="Times New Roman"/>
          <w:sz w:val="24"/>
          <w:szCs w:val="24"/>
          <w:lang w:val="en-US" w:eastAsia="zh-CN"/>
        </w:rPr>
        <w:t>一</w:t>
      </w:r>
      <w:r>
        <w:rPr>
          <w:rFonts w:hint="default" w:ascii="Times New Roman" w:hAnsi="Times New Roman" w:cs="Times New Roman"/>
          <w:sz w:val="24"/>
          <w:szCs w:val="24"/>
        </w:rPr>
        <w:t>）</w:t>
      </w:r>
      <w:r>
        <w:rPr>
          <w:rFonts w:hint="default" w:ascii="Times New Roman" w:hAnsi="Times New Roman" w:cs="Times New Roman"/>
          <w:color w:val="000000"/>
          <w:sz w:val="24"/>
          <w:szCs w:val="24"/>
        </w:rPr>
        <w:t>的交易时间，即</w:t>
      </w:r>
      <w:r>
        <w:rPr>
          <w:rFonts w:hint="default" w:ascii="Times New Roman" w:hAnsi="Times New Roman" w:cs="Times New Roman"/>
          <w:color w:val="000000"/>
          <w:sz w:val="24"/>
        </w:rPr>
        <w:t>9:15</w:t>
      </w:r>
      <w:r>
        <w:rPr>
          <w:rFonts w:hint="default" w:ascii="Times New Roman" w:hAnsi="Times New Roman" w:cs="Times New Roman"/>
          <w:color w:val="000000"/>
          <w:sz w:val="24"/>
          <w:lang w:val="en-US" w:eastAsia="zh-CN"/>
        </w:rPr>
        <w:t>~</w:t>
      </w:r>
      <w:r>
        <w:rPr>
          <w:rFonts w:hint="default" w:ascii="Times New Roman" w:hAnsi="Times New Roman" w:cs="Times New Roman"/>
          <w:color w:val="000000"/>
          <w:sz w:val="24"/>
        </w:rPr>
        <w:t>9:25、</w:t>
      </w:r>
      <w:r>
        <w:rPr>
          <w:rFonts w:hint="default" w:ascii="Times New Roman" w:hAnsi="Times New Roman" w:cs="Times New Roman"/>
          <w:color w:val="000000"/>
          <w:sz w:val="24"/>
          <w:szCs w:val="24"/>
        </w:rPr>
        <w:t>9:30</w:t>
      </w:r>
      <w:r>
        <w:rPr>
          <w:rFonts w:hint="default" w:ascii="Times New Roman" w:hAnsi="Times New Roman" w:cs="Times New Roman"/>
          <w:color w:val="000000"/>
          <w:sz w:val="24"/>
          <w:szCs w:val="24"/>
          <w:lang w:val="en-US" w:eastAsia="zh-CN"/>
        </w:rPr>
        <w:t>~</w:t>
      </w:r>
      <w:r>
        <w:rPr>
          <w:rFonts w:hint="default" w:ascii="Times New Roman" w:hAnsi="Times New Roman" w:cs="Times New Roman"/>
          <w:color w:val="000000"/>
          <w:sz w:val="24"/>
          <w:szCs w:val="24"/>
        </w:rPr>
        <w:t>11:30和13:00</w:t>
      </w:r>
      <w:r>
        <w:rPr>
          <w:rFonts w:hint="default" w:ascii="Times New Roman" w:hAnsi="Times New Roman" w:cs="Times New Roman"/>
          <w:color w:val="000000"/>
          <w:sz w:val="24"/>
          <w:szCs w:val="24"/>
          <w:lang w:val="en-US" w:eastAsia="zh-CN"/>
        </w:rPr>
        <w:t>~</w:t>
      </w:r>
      <w:r>
        <w:rPr>
          <w:rFonts w:hint="default" w:ascii="Times New Roman" w:hAnsi="Times New Roman" w:cs="Times New Roman"/>
          <w:color w:val="000000"/>
          <w:sz w:val="24"/>
          <w:szCs w:val="24"/>
        </w:rPr>
        <w:t>15:00。</w:t>
      </w:r>
    </w:p>
    <w:p>
      <w:pPr>
        <w:spacing w:line="380" w:lineRule="exact"/>
        <w:ind w:firstLine="480" w:firstLineChars="200"/>
        <w:contextualSpacing/>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 股东可以登录证券公司交易客户端通过交易系统投票。</w:t>
      </w:r>
    </w:p>
    <w:p>
      <w:pPr>
        <w:spacing w:line="380" w:lineRule="exact"/>
        <w:ind w:firstLine="482" w:firstLineChars="200"/>
        <w:contextualSpacing/>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三、通过深交所互联网投票系统投票的程序</w:t>
      </w:r>
    </w:p>
    <w:p>
      <w:pPr>
        <w:spacing w:line="380" w:lineRule="exact"/>
        <w:ind w:firstLine="480"/>
        <w:contextualSpacing/>
        <w:jc w:val="left"/>
        <w:rPr>
          <w:rFonts w:hint="default" w:ascii="Times New Roman" w:hAnsi="Times New Roman" w:cs="Times New Roman"/>
          <w:color w:val="000000"/>
          <w:sz w:val="24"/>
          <w:szCs w:val="24"/>
        </w:rPr>
      </w:pPr>
      <w:r>
        <w:rPr>
          <w:rFonts w:hint="default" w:ascii="Times New Roman" w:hAnsi="Times New Roman" w:eastAsia="宋体" w:cs="Times New Roman"/>
          <w:color w:val="000000"/>
          <w:sz w:val="24"/>
          <w:szCs w:val="24"/>
        </w:rPr>
        <w:t xml:space="preserve">1. </w:t>
      </w:r>
      <w:r>
        <w:rPr>
          <w:rFonts w:hint="default" w:ascii="Times New Roman" w:hAnsi="Times New Roman" w:cs="Times New Roman"/>
          <w:color w:val="000000"/>
          <w:sz w:val="24"/>
          <w:szCs w:val="24"/>
        </w:rPr>
        <w:t>互联网投票系统开始投票的时间为</w:t>
      </w:r>
      <w:r>
        <w:rPr>
          <w:rFonts w:hint="default" w:ascii="Times New Roman" w:hAnsi="Times New Roman" w:cs="Times New Roman"/>
          <w:sz w:val="24"/>
          <w:szCs w:val="24"/>
        </w:rPr>
        <w:t>2025年</w:t>
      </w:r>
      <w:r>
        <w:rPr>
          <w:rFonts w:hint="eastAsia" w:ascii="Times New Roman" w:hAnsi="Times New Roman" w:cs="Times New Roman"/>
          <w:sz w:val="24"/>
          <w:szCs w:val="24"/>
          <w:lang w:val="en-US" w:eastAsia="zh-CN"/>
        </w:rPr>
        <w:t>12</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22</w:t>
      </w:r>
      <w:r>
        <w:rPr>
          <w:rFonts w:hint="default" w:ascii="Times New Roman" w:hAnsi="Times New Roman" w:cs="Times New Roman"/>
          <w:sz w:val="24"/>
          <w:szCs w:val="24"/>
        </w:rPr>
        <w:t>日</w:t>
      </w:r>
      <w:r>
        <w:rPr>
          <w:rFonts w:hint="default" w:ascii="Times New Roman" w:hAnsi="Times New Roman" w:cs="Times New Roman"/>
          <w:color w:val="000000"/>
          <w:sz w:val="24"/>
          <w:szCs w:val="24"/>
        </w:rPr>
        <w:t>（现场股东会召开当天）上午9:15，结束时间为</w:t>
      </w:r>
      <w:r>
        <w:rPr>
          <w:rFonts w:hint="default" w:ascii="Times New Roman" w:hAnsi="Times New Roman" w:cs="Times New Roman"/>
          <w:sz w:val="24"/>
          <w:szCs w:val="24"/>
        </w:rPr>
        <w:t>2025年</w:t>
      </w:r>
      <w:r>
        <w:rPr>
          <w:rFonts w:hint="eastAsia" w:ascii="Times New Roman" w:hAnsi="Times New Roman" w:cs="Times New Roman"/>
          <w:sz w:val="24"/>
          <w:szCs w:val="24"/>
          <w:lang w:val="en-US" w:eastAsia="zh-CN"/>
        </w:rPr>
        <w:t>12</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22</w:t>
      </w:r>
      <w:r>
        <w:rPr>
          <w:rFonts w:hint="default" w:ascii="Times New Roman" w:hAnsi="Times New Roman" w:cs="Times New Roman"/>
          <w:sz w:val="24"/>
          <w:szCs w:val="24"/>
        </w:rPr>
        <w:t>日</w:t>
      </w:r>
      <w:r>
        <w:rPr>
          <w:rFonts w:hint="default" w:ascii="Times New Roman" w:hAnsi="Times New Roman" w:cs="Times New Roman"/>
          <w:color w:val="000000"/>
          <w:sz w:val="24"/>
          <w:szCs w:val="24"/>
        </w:rPr>
        <w:t>（现场股东会结束当日）下午3:00。</w:t>
      </w:r>
    </w:p>
    <w:p>
      <w:pPr>
        <w:spacing w:line="380" w:lineRule="exact"/>
        <w:ind w:firstLine="480" w:firstLineChars="200"/>
        <w:contextualSpacing/>
        <w:rPr>
          <w:rFonts w:hint="default" w:ascii="Times New Roman" w:hAnsi="Times New Roman" w:cs="Times New Roman"/>
          <w:color w:val="000000"/>
          <w:sz w:val="24"/>
          <w:szCs w:val="24"/>
        </w:rPr>
      </w:pPr>
      <w:r>
        <w:rPr>
          <w:rFonts w:hint="default" w:ascii="Times New Roman" w:hAnsi="Times New Roman" w:eastAsia="宋体" w:cs="Times New Roman"/>
          <w:color w:val="000000"/>
          <w:sz w:val="24"/>
          <w:szCs w:val="24"/>
        </w:rPr>
        <w:t>2.</w:t>
      </w:r>
      <w:r>
        <w:rPr>
          <w:rFonts w:hint="default" w:ascii="Times New Roman" w:hAnsi="Times New Roman" w:cs="Times New Roman"/>
          <w:color w:val="000000"/>
          <w:sz w:val="24"/>
          <w:szCs w:val="24"/>
        </w:rPr>
        <w:t xml:space="preserve"> 股东通过互联网投票系统进行网络投票，需按照《深圳证券交易所投资者网络服务身份认证业务指引（2016年修订）》的规定办理身份认证，取得“深交所数字证书”或“深交所投资者服务密码”。具体的身份认证流程可登录互联网投票系统</w:t>
      </w:r>
      <w:r>
        <w:rPr>
          <w:rFonts w:hint="default" w:ascii="Times New Roman" w:hAnsi="Times New Roman" w:cs="Times New Roman"/>
        </w:rPr>
        <w:fldChar w:fldCharType="begin"/>
      </w:r>
      <w:r>
        <w:rPr>
          <w:rFonts w:hint="default" w:ascii="Times New Roman" w:hAnsi="Times New Roman" w:cs="Times New Roman"/>
        </w:rPr>
        <w:instrText xml:space="preserve"> HYPERLINK "http://wltp.cninfo.com.cn/" </w:instrText>
      </w:r>
      <w:r>
        <w:rPr>
          <w:rFonts w:hint="default" w:ascii="Times New Roman" w:hAnsi="Times New Roman" w:cs="Times New Roman"/>
        </w:rPr>
        <w:fldChar w:fldCharType="separate"/>
      </w:r>
      <w:r>
        <w:rPr>
          <w:rFonts w:hint="default" w:ascii="Times New Roman" w:hAnsi="Times New Roman" w:cs="Times New Roman"/>
          <w:color w:val="000000"/>
          <w:sz w:val="24"/>
          <w:szCs w:val="24"/>
        </w:rPr>
        <w:t>http://wltp.cninfo.com.cn</w:t>
      </w:r>
      <w:r>
        <w:rPr>
          <w:rFonts w:hint="default" w:ascii="Times New Roman" w:hAnsi="Times New Roman" w:cs="Times New Roman"/>
          <w:color w:val="000000"/>
          <w:sz w:val="24"/>
          <w:szCs w:val="24"/>
        </w:rPr>
        <w:fldChar w:fldCharType="end"/>
      </w:r>
      <w:r>
        <w:rPr>
          <w:rFonts w:hint="default" w:ascii="Times New Roman" w:hAnsi="Times New Roman" w:cs="Times New Roman"/>
          <w:color w:val="000000"/>
          <w:sz w:val="24"/>
          <w:szCs w:val="24"/>
        </w:rPr>
        <w:t>规则指引栏目查阅。</w:t>
      </w:r>
    </w:p>
    <w:p>
      <w:pPr>
        <w:spacing w:line="380" w:lineRule="exact"/>
        <w:ind w:firstLine="480"/>
        <w:contextualSpacing/>
        <w:rPr>
          <w:rFonts w:hint="default" w:ascii="Times New Roman" w:hAnsi="Times New Roman" w:cs="Times New Roman"/>
          <w:color w:val="000000"/>
          <w:sz w:val="24"/>
          <w:szCs w:val="24"/>
        </w:rPr>
      </w:pPr>
      <w:r>
        <w:rPr>
          <w:rFonts w:hint="default" w:ascii="Times New Roman" w:hAnsi="Times New Roman" w:eastAsia="宋体" w:cs="Times New Roman"/>
          <w:color w:val="000000"/>
          <w:sz w:val="24"/>
          <w:szCs w:val="24"/>
        </w:rPr>
        <w:t xml:space="preserve">3. </w:t>
      </w:r>
      <w:r>
        <w:rPr>
          <w:rFonts w:hint="default" w:ascii="Times New Roman" w:hAnsi="Times New Roman" w:cs="Times New Roman"/>
          <w:color w:val="000000"/>
          <w:sz w:val="24"/>
          <w:szCs w:val="24"/>
        </w:rPr>
        <w:t>股东根据获取的服务密码或数字证书，可登录http://wltp.cninfo.com.cn在规定时间内通过深交所互联网投票系统进行投票。</w:t>
      </w:r>
    </w:p>
    <w:p>
      <w:pPr>
        <w:spacing w:line="380" w:lineRule="exact"/>
        <w:ind w:firstLine="420"/>
        <w:rPr>
          <w:rFonts w:hint="default" w:ascii="Times New Roman" w:hAnsi="Times New Roman" w:cs="Times New Roman"/>
          <w:sz w:val="24"/>
        </w:rPr>
      </w:pPr>
    </w:p>
    <w:p>
      <w:pPr>
        <w:widowControl/>
        <w:jc w:val="left"/>
        <w:rPr>
          <w:rFonts w:hint="default" w:ascii="Times New Roman" w:hAnsi="Times New Roman" w:eastAsia="黑体" w:cs="Times New Roman"/>
          <w:sz w:val="24"/>
          <w:szCs w:val="24"/>
        </w:rPr>
      </w:pPr>
      <w:r>
        <w:rPr>
          <w:rFonts w:hint="default" w:ascii="Times New Roman" w:hAnsi="Times New Roman" w:eastAsia="黑体" w:cs="Times New Roman"/>
          <w:sz w:val="24"/>
          <w:szCs w:val="24"/>
        </w:rPr>
        <w:br w:type="page"/>
      </w:r>
      <w:r>
        <w:rPr>
          <w:rFonts w:hint="default" w:ascii="Times New Roman" w:hAnsi="Times New Roman" w:eastAsia="黑体" w:cs="Times New Roman"/>
          <w:sz w:val="24"/>
          <w:szCs w:val="24"/>
        </w:rPr>
        <w:t>附件2</w:t>
      </w:r>
    </w:p>
    <w:p>
      <w:pPr>
        <w:autoSpaceDE w:val="0"/>
        <w:autoSpaceDN w:val="0"/>
        <w:adjustRightInd w:val="0"/>
        <w:jc w:val="center"/>
        <w:rPr>
          <w:rFonts w:hint="default" w:ascii="Times New Roman" w:hAnsi="Times New Roman" w:cs="Times New Roman"/>
          <w:color w:val="000000"/>
          <w:kern w:val="0"/>
          <w:sz w:val="23"/>
          <w:szCs w:val="23"/>
        </w:rPr>
      </w:pPr>
      <w:r>
        <w:rPr>
          <w:rFonts w:hint="default" w:ascii="Times New Roman" w:hAnsi="Times New Roman" w:eastAsia="方正小标宋简体" w:cs="Times New Roman"/>
          <w:b/>
          <w:color w:val="000000"/>
          <w:sz w:val="44"/>
          <w:szCs w:val="44"/>
          <w:lang w:bidi="ar"/>
        </w:rPr>
        <w:t>授权委托书</w:t>
      </w:r>
    </w:p>
    <w:p>
      <w:pPr>
        <w:numPr>
          <w:ilvl w:val="0"/>
          <w:numId w:val="5"/>
        </w:numPr>
        <w:spacing w:line="560" w:lineRule="exact"/>
        <w:ind w:firstLine="560" w:firstLineChars="200"/>
        <w:contextualSpacing/>
        <w:jc w:val="lef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委托人名称：</w:t>
      </w:r>
      <w:r>
        <w:rPr>
          <w:rFonts w:hint="default" w:ascii="Times New Roman" w:hAnsi="Times New Roman" w:cs="Times New Roman"/>
          <w:color w:val="000000"/>
          <w:sz w:val="28"/>
          <w:szCs w:val="28"/>
          <w:u w:val="single"/>
        </w:rPr>
        <w:t xml:space="preserve">                                      </w:t>
      </w:r>
      <w:r>
        <w:rPr>
          <w:rFonts w:hint="default" w:ascii="Times New Roman" w:hAnsi="Times New Roman" w:cs="Times New Roman"/>
          <w:color w:val="000000"/>
          <w:sz w:val="28"/>
          <w:szCs w:val="28"/>
        </w:rPr>
        <w:t>，</w:t>
      </w:r>
    </w:p>
    <w:p>
      <w:pPr>
        <w:spacing w:line="560" w:lineRule="exact"/>
        <w:ind w:firstLine="840" w:firstLineChars="300"/>
        <w:contextualSpacing/>
        <w:jc w:val="left"/>
        <w:rPr>
          <w:rFonts w:hint="default" w:ascii="Times New Roman" w:hAnsi="Times New Roman" w:cs="Times New Roman"/>
          <w:color w:val="000000"/>
          <w:sz w:val="28"/>
          <w:szCs w:val="28"/>
          <w:u w:val="single"/>
        </w:rPr>
      </w:pPr>
      <w:r>
        <w:rPr>
          <w:rFonts w:hint="default" w:ascii="Times New Roman" w:hAnsi="Times New Roman" w:cs="Times New Roman"/>
          <w:color w:val="000000"/>
          <w:sz w:val="28"/>
          <w:szCs w:val="28"/>
        </w:rPr>
        <w:t>持股性质：</w:t>
      </w:r>
      <w:r>
        <w:rPr>
          <w:rFonts w:hint="default" w:ascii="Times New Roman" w:hAnsi="Times New Roman" w:cs="Times New Roman"/>
          <w:color w:val="000000"/>
          <w:sz w:val="28"/>
          <w:szCs w:val="28"/>
          <w:u w:val="single"/>
        </w:rPr>
        <w:t xml:space="preserve">                  </w:t>
      </w:r>
      <w:r>
        <w:rPr>
          <w:rFonts w:hint="default" w:ascii="Times New Roman" w:hAnsi="Times New Roman" w:cs="Times New Roman"/>
          <w:color w:val="000000"/>
          <w:sz w:val="28"/>
          <w:szCs w:val="28"/>
        </w:rPr>
        <w:t>，数量：</w:t>
      </w:r>
      <w:r>
        <w:rPr>
          <w:rFonts w:hint="default" w:ascii="Times New Roman" w:hAnsi="Times New Roman" w:cs="Times New Roman"/>
          <w:color w:val="000000"/>
          <w:sz w:val="28"/>
          <w:szCs w:val="28"/>
          <w:u w:val="single"/>
        </w:rPr>
        <w:t xml:space="preserve">              </w:t>
      </w:r>
      <w:r>
        <w:rPr>
          <w:rFonts w:hint="default" w:ascii="Times New Roman" w:hAnsi="Times New Roman" w:cs="Times New Roman"/>
          <w:color w:val="000000"/>
          <w:sz w:val="28"/>
          <w:szCs w:val="28"/>
        </w:rPr>
        <w:t>。</w:t>
      </w:r>
    </w:p>
    <w:p>
      <w:pPr>
        <w:numPr>
          <w:ilvl w:val="0"/>
          <w:numId w:val="5"/>
        </w:numPr>
        <w:spacing w:line="560" w:lineRule="exact"/>
        <w:ind w:firstLine="560" w:firstLineChars="200"/>
        <w:contextualSpacing/>
        <w:jc w:val="lef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受托人姓名：</w:t>
      </w:r>
      <w:r>
        <w:rPr>
          <w:rFonts w:hint="default" w:ascii="Times New Roman" w:hAnsi="Times New Roman" w:cs="Times New Roman"/>
          <w:color w:val="000000"/>
          <w:sz w:val="28"/>
          <w:szCs w:val="28"/>
          <w:u w:val="single"/>
        </w:rPr>
        <w:t xml:space="preserve">         </w:t>
      </w:r>
      <w:r>
        <w:rPr>
          <w:rFonts w:hint="default" w:ascii="Times New Roman" w:hAnsi="Times New Roman" w:cs="Times New Roman"/>
          <w:color w:val="000000"/>
          <w:sz w:val="28"/>
          <w:szCs w:val="28"/>
        </w:rPr>
        <w:t>，身份证号码：</w:t>
      </w:r>
      <w:r>
        <w:rPr>
          <w:rFonts w:hint="default" w:ascii="Times New Roman" w:hAnsi="Times New Roman" w:cs="Times New Roman"/>
          <w:color w:val="000000"/>
          <w:sz w:val="28"/>
          <w:szCs w:val="28"/>
          <w:u w:val="single"/>
        </w:rPr>
        <w:t xml:space="preserve">               </w:t>
      </w:r>
      <w:r>
        <w:rPr>
          <w:rFonts w:hint="default" w:ascii="Times New Roman" w:hAnsi="Times New Roman" w:cs="Times New Roman"/>
          <w:color w:val="000000"/>
          <w:sz w:val="28"/>
          <w:szCs w:val="28"/>
        </w:rPr>
        <w:t>。</w:t>
      </w:r>
    </w:p>
    <w:p>
      <w:pPr>
        <w:numPr>
          <w:ilvl w:val="0"/>
          <w:numId w:val="5"/>
        </w:numPr>
        <w:spacing w:line="560" w:lineRule="exact"/>
        <w:ind w:firstLine="560" w:firstLineChars="200"/>
        <w:contextualSpacing/>
        <w:jc w:val="lef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对公司202</w:t>
      </w:r>
      <w:r>
        <w:rPr>
          <w:rFonts w:hint="default" w:ascii="Times New Roman" w:hAnsi="Times New Roman" w:cs="Times New Roman"/>
          <w:color w:val="000000"/>
          <w:sz w:val="28"/>
          <w:szCs w:val="28"/>
          <w:lang w:val="en-US" w:eastAsia="zh-CN"/>
        </w:rPr>
        <w:t>5</w:t>
      </w:r>
      <w:r>
        <w:rPr>
          <w:rFonts w:hint="default" w:ascii="Times New Roman" w:hAnsi="Times New Roman" w:cs="Times New Roman"/>
          <w:color w:val="000000"/>
          <w:sz w:val="28"/>
          <w:szCs w:val="28"/>
        </w:rPr>
        <w:t>年第</w:t>
      </w:r>
      <w:r>
        <w:rPr>
          <w:rFonts w:hint="eastAsia" w:ascii="Times New Roman" w:hAnsi="Times New Roman" w:cs="Times New Roman"/>
          <w:color w:val="000000"/>
          <w:sz w:val="28"/>
          <w:szCs w:val="28"/>
          <w:lang w:val="en-US" w:eastAsia="zh-CN"/>
        </w:rPr>
        <w:t>四</w:t>
      </w:r>
      <w:r>
        <w:rPr>
          <w:rFonts w:hint="default" w:ascii="Times New Roman" w:hAnsi="Times New Roman" w:cs="Times New Roman"/>
          <w:color w:val="000000"/>
          <w:sz w:val="28"/>
          <w:szCs w:val="28"/>
        </w:rPr>
        <w:t>次临时股东会提案的明确投票意见指示（可按下表格式列示）；没有明确投票指示的，应当注明是否授权由受托人按自己的意见投票。</w:t>
      </w:r>
    </w:p>
    <w:p>
      <w:pPr>
        <w:numPr>
          <w:ilvl w:val="0"/>
          <w:numId w:val="5"/>
        </w:numPr>
        <w:spacing w:line="560" w:lineRule="exact"/>
        <w:ind w:firstLine="560" w:firstLineChars="200"/>
        <w:contextualSpacing/>
        <w:jc w:val="lef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授权委托书签发日期：</w:t>
      </w:r>
      <w:r>
        <w:rPr>
          <w:rFonts w:hint="default" w:ascii="Times New Roman" w:hAnsi="Times New Roman" w:cs="Times New Roman"/>
          <w:color w:val="000000"/>
          <w:sz w:val="28"/>
          <w:szCs w:val="28"/>
          <w:u w:val="single"/>
        </w:rPr>
        <w:t xml:space="preserve">          </w:t>
      </w:r>
      <w:r>
        <w:rPr>
          <w:rFonts w:hint="default" w:ascii="Times New Roman" w:hAnsi="Times New Roman" w:cs="Times New Roman"/>
          <w:color w:val="000000"/>
          <w:sz w:val="28"/>
          <w:szCs w:val="28"/>
        </w:rPr>
        <w:t>,有效期限：</w:t>
      </w:r>
      <w:r>
        <w:rPr>
          <w:rFonts w:hint="default" w:ascii="Times New Roman" w:hAnsi="Times New Roman" w:cs="Times New Roman"/>
          <w:color w:val="000000"/>
          <w:sz w:val="28"/>
          <w:szCs w:val="28"/>
          <w:u w:val="single"/>
        </w:rPr>
        <w:t xml:space="preserve">           </w:t>
      </w:r>
      <w:r>
        <w:rPr>
          <w:rFonts w:hint="default" w:ascii="Times New Roman" w:hAnsi="Times New Roman" w:cs="Times New Roman"/>
          <w:color w:val="000000"/>
          <w:sz w:val="28"/>
          <w:szCs w:val="28"/>
        </w:rPr>
        <w:t>。</w:t>
      </w:r>
    </w:p>
    <w:p>
      <w:pPr>
        <w:numPr>
          <w:ilvl w:val="0"/>
          <w:numId w:val="5"/>
        </w:numPr>
        <w:spacing w:line="560" w:lineRule="exact"/>
        <w:ind w:firstLine="560" w:firstLineChars="200"/>
        <w:contextualSpacing/>
        <w:rPr>
          <w:rFonts w:hint="default" w:ascii="Times New Roman" w:hAnsi="Times New Roman" w:cs="Times New Roman"/>
          <w:color w:val="000000"/>
          <w:sz w:val="24"/>
        </w:rPr>
      </w:pPr>
      <w:r>
        <w:rPr>
          <w:rFonts w:hint="default" w:ascii="Times New Roman" w:hAnsi="Times New Roman" w:cs="Times New Roman"/>
          <w:color w:val="000000"/>
          <w:sz w:val="28"/>
          <w:szCs w:val="28"/>
        </w:rPr>
        <w:t>委托人签名（或盖章）</w:t>
      </w:r>
      <w:r>
        <w:rPr>
          <w:rFonts w:hint="default" w:ascii="Times New Roman" w:hAnsi="Times New Roman" w:cs="Times New Roman"/>
          <w:color w:val="000000"/>
          <w:sz w:val="28"/>
          <w:szCs w:val="28"/>
          <w:u w:val="single"/>
        </w:rPr>
        <w:t xml:space="preserve">          </w:t>
      </w:r>
      <w:r>
        <w:rPr>
          <w:rFonts w:hint="default" w:ascii="Times New Roman" w:hAnsi="Times New Roman" w:cs="Times New Roman"/>
          <w:color w:val="000000"/>
          <w:sz w:val="28"/>
          <w:szCs w:val="28"/>
        </w:rPr>
        <w:t>；委托人为法人的，应当加盖单位印章。</w:t>
      </w:r>
    </w:p>
    <w:p>
      <w:pPr>
        <w:contextualSpacing/>
        <w:jc w:val="cente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202</w:t>
      </w:r>
      <w:r>
        <w:rPr>
          <w:rFonts w:hint="default" w:ascii="Times New Roman" w:hAnsi="Times New Roman" w:cs="Times New Roman"/>
          <w:b/>
          <w:color w:val="000000"/>
          <w:sz w:val="28"/>
          <w:szCs w:val="28"/>
          <w:lang w:val="en-US" w:eastAsia="zh-CN"/>
        </w:rPr>
        <w:t>5</w:t>
      </w:r>
      <w:r>
        <w:rPr>
          <w:rFonts w:hint="default" w:ascii="Times New Roman" w:hAnsi="Times New Roman" w:cs="Times New Roman"/>
          <w:b/>
          <w:color w:val="000000"/>
          <w:sz w:val="28"/>
          <w:szCs w:val="28"/>
        </w:rPr>
        <w:t>年第</w:t>
      </w:r>
      <w:r>
        <w:rPr>
          <w:rFonts w:hint="eastAsia" w:ascii="Times New Roman" w:hAnsi="Times New Roman" w:cs="Times New Roman"/>
          <w:b/>
          <w:color w:val="000000"/>
          <w:sz w:val="28"/>
          <w:szCs w:val="28"/>
          <w:lang w:val="en-US" w:eastAsia="zh-CN"/>
        </w:rPr>
        <w:t>四</w:t>
      </w:r>
      <w:r>
        <w:rPr>
          <w:rFonts w:hint="default" w:ascii="Times New Roman" w:hAnsi="Times New Roman" w:cs="Times New Roman"/>
          <w:b/>
          <w:color w:val="000000"/>
          <w:sz w:val="28"/>
          <w:szCs w:val="28"/>
        </w:rPr>
        <w:t>次临时股东会提案表决意见表</w:t>
      </w:r>
    </w:p>
    <w:tbl>
      <w:tblPr>
        <w:tblStyle w:val="10"/>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3685"/>
        <w:gridCol w:w="1276"/>
        <w:gridCol w:w="709"/>
        <w:gridCol w:w="70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Merge w:val="restart"/>
            <w:shd w:val="pct25" w:color="auto" w:fill="auto"/>
            <w:noWrap w:val="0"/>
            <w:vAlign w:val="center"/>
          </w:tcPr>
          <w:p>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提案编码</w:t>
            </w:r>
          </w:p>
        </w:tc>
        <w:tc>
          <w:tcPr>
            <w:tcW w:w="3685" w:type="dxa"/>
            <w:vMerge w:val="restart"/>
            <w:shd w:val="pct25" w:color="auto" w:fill="auto"/>
            <w:noWrap w:val="0"/>
            <w:vAlign w:val="center"/>
          </w:tcPr>
          <w:p>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提案名称</w:t>
            </w:r>
          </w:p>
        </w:tc>
        <w:tc>
          <w:tcPr>
            <w:tcW w:w="1276" w:type="dxa"/>
            <w:shd w:val="pct25" w:color="auto" w:fill="auto"/>
            <w:noWrap w:val="0"/>
            <w:vAlign w:val="center"/>
          </w:tcPr>
          <w:p>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备注</w:t>
            </w:r>
          </w:p>
        </w:tc>
        <w:tc>
          <w:tcPr>
            <w:tcW w:w="2126" w:type="dxa"/>
            <w:gridSpan w:val="3"/>
            <w:shd w:val="pct25" w:color="auto" w:fill="auto"/>
            <w:noWrap w:val="0"/>
            <w:vAlign w:val="top"/>
          </w:tcPr>
          <w:p>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表决意见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Merge w:val="continue"/>
            <w:shd w:val="pct25" w:color="auto" w:fill="auto"/>
            <w:noWrap w:val="0"/>
            <w:vAlign w:val="top"/>
          </w:tcPr>
          <w:p>
            <w:pPr>
              <w:rPr>
                <w:rFonts w:hint="default" w:ascii="Times New Roman" w:hAnsi="Times New Roman" w:eastAsia="仿宋" w:cs="Times New Roman"/>
                <w:sz w:val="24"/>
                <w:szCs w:val="24"/>
              </w:rPr>
            </w:pPr>
          </w:p>
        </w:tc>
        <w:tc>
          <w:tcPr>
            <w:tcW w:w="3685" w:type="dxa"/>
            <w:vMerge w:val="continue"/>
            <w:shd w:val="pct25" w:color="auto" w:fill="auto"/>
            <w:noWrap w:val="0"/>
            <w:vAlign w:val="top"/>
          </w:tcPr>
          <w:p>
            <w:pPr>
              <w:rPr>
                <w:rFonts w:hint="default" w:ascii="Times New Roman" w:hAnsi="Times New Roman" w:eastAsia="仿宋" w:cs="Times New Roman"/>
                <w:sz w:val="24"/>
                <w:szCs w:val="24"/>
              </w:rPr>
            </w:pPr>
          </w:p>
        </w:tc>
        <w:tc>
          <w:tcPr>
            <w:tcW w:w="1276" w:type="dxa"/>
            <w:shd w:val="pct25" w:color="auto" w:fill="auto"/>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该列打勾的栏目可以投票</w:t>
            </w:r>
          </w:p>
        </w:tc>
        <w:tc>
          <w:tcPr>
            <w:tcW w:w="709" w:type="dxa"/>
            <w:shd w:val="pct25" w:color="auto" w:fill="auto"/>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同意</w:t>
            </w:r>
          </w:p>
        </w:tc>
        <w:tc>
          <w:tcPr>
            <w:tcW w:w="708" w:type="dxa"/>
            <w:shd w:val="pct25" w:color="auto" w:fill="auto"/>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反对</w:t>
            </w:r>
          </w:p>
        </w:tc>
        <w:tc>
          <w:tcPr>
            <w:tcW w:w="709" w:type="dxa"/>
            <w:shd w:val="pct25" w:color="auto" w:fill="auto"/>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color w:val="000000"/>
                <w:sz w:val="24"/>
                <w:szCs w:val="24"/>
              </w:rPr>
              <w:t>100</w:t>
            </w:r>
          </w:p>
        </w:tc>
        <w:tc>
          <w:tcPr>
            <w:tcW w:w="3685" w:type="dxa"/>
            <w:noWrap w:val="0"/>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color w:val="000000"/>
                <w:sz w:val="24"/>
                <w:szCs w:val="24"/>
              </w:rPr>
              <w:t>总议案：除累积投票提案外的所有提案</w:t>
            </w:r>
          </w:p>
        </w:tc>
        <w:tc>
          <w:tcPr>
            <w:tcW w:w="1276" w:type="dxa"/>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color w:val="000000"/>
                <w:sz w:val="24"/>
                <w:szCs w:val="24"/>
              </w:rPr>
              <w:t>√</w:t>
            </w:r>
          </w:p>
        </w:tc>
        <w:tc>
          <w:tcPr>
            <w:tcW w:w="709" w:type="dxa"/>
            <w:noWrap w:val="0"/>
            <w:vAlign w:val="top"/>
          </w:tcPr>
          <w:p>
            <w:pPr>
              <w:jc w:val="center"/>
              <w:rPr>
                <w:rFonts w:hint="default" w:ascii="Times New Roman" w:hAnsi="Times New Roman" w:eastAsia="仿宋" w:cs="Times New Roman"/>
                <w:color w:val="000000"/>
                <w:sz w:val="24"/>
                <w:szCs w:val="24"/>
              </w:rPr>
            </w:pPr>
          </w:p>
        </w:tc>
        <w:tc>
          <w:tcPr>
            <w:tcW w:w="708" w:type="dxa"/>
            <w:noWrap w:val="0"/>
            <w:vAlign w:val="top"/>
          </w:tcPr>
          <w:p>
            <w:pPr>
              <w:jc w:val="center"/>
              <w:rPr>
                <w:rFonts w:hint="default" w:ascii="Times New Roman" w:hAnsi="Times New Roman" w:eastAsia="仿宋" w:cs="Times New Roman"/>
                <w:color w:val="000000"/>
                <w:sz w:val="24"/>
                <w:szCs w:val="24"/>
              </w:rPr>
            </w:pPr>
          </w:p>
        </w:tc>
        <w:tc>
          <w:tcPr>
            <w:tcW w:w="709" w:type="dxa"/>
            <w:noWrap w:val="0"/>
            <w:vAlign w:val="top"/>
          </w:tcPr>
          <w:p>
            <w:pPr>
              <w:jc w:val="center"/>
              <w:rPr>
                <w:rFonts w:hint="default" w:ascii="Times New Roman" w:hAnsi="Times New Roman"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非累积投票</w:t>
            </w:r>
          </w:p>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提案</w:t>
            </w:r>
          </w:p>
        </w:tc>
        <w:tc>
          <w:tcPr>
            <w:tcW w:w="3685" w:type="dxa"/>
            <w:noWrap w:val="0"/>
            <w:vAlign w:val="center"/>
          </w:tcPr>
          <w:p>
            <w:pPr>
              <w:rPr>
                <w:rFonts w:hint="default" w:ascii="Times New Roman" w:hAnsi="Times New Roman" w:eastAsia="仿宋" w:cs="Times New Roman"/>
                <w:sz w:val="24"/>
                <w:szCs w:val="24"/>
              </w:rPr>
            </w:pPr>
          </w:p>
        </w:tc>
        <w:tc>
          <w:tcPr>
            <w:tcW w:w="1276" w:type="dxa"/>
            <w:noWrap w:val="0"/>
            <w:vAlign w:val="center"/>
          </w:tcPr>
          <w:p>
            <w:pPr>
              <w:rPr>
                <w:rFonts w:hint="default" w:ascii="Times New Roman" w:hAnsi="Times New Roman" w:eastAsia="仿宋" w:cs="Times New Roman"/>
                <w:sz w:val="24"/>
                <w:szCs w:val="24"/>
              </w:rPr>
            </w:pPr>
          </w:p>
        </w:tc>
        <w:tc>
          <w:tcPr>
            <w:tcW w:w="709" w:type="dxa"/>
            <w:noWrap w:val="0"/>
            <w:vAlign w:val="center"/>
          </w:tcPr>
          <w:p>
            <w:pPr>
              <w:rPr>
                <w:rFonts w:hint="default" w:ascii="Times New Roman" w:hAnsi="Times New Roman" w:eastAsia="仿宋" w:cs="Times New Roman"/>
                <w:sz w:val="24"/>
                <w:szCs w:val="24"/>
              </w:rPr>
            </w:pPr>
          </w:p>
        </w:tc>
        <w:tc>
          <w:tcPr>
            <w:tcW w:w="708" w:type="dxa"/>
            <w:noWrap w:val="0"/>
            <w:vAlign w:val="center"/>
          </w:tcPr>
          <w:p>
            <w:pPr>
              <w:rPr>
                <w:rFonts w:hint="default" w:ascii="Times New Roman" w:hAnsi="Times New Roman" w:eastAsia="仿宋" w:cs="Times New Roman"/>
                <w:sz w:val="24"/>
                <w:szCs w:val="24"/>
              </w:rPr>
            </w:pPr>
          </w:p>
        </w:tc>
        <w:tc>
          <w:tcPr>
            <w:tcW w:w="709" w:type="dxa"/>
            <w:noWrap w:val="0"/>
            <w:vAlign w:val="center"/>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noWrap w:val="0"/>
            <w:vAlign w:val="center"/>
          </w:tcPr>
          <w:p>
            <w:pPr>
              <w:spacing w:line="360" w:lineRule="exact"/>
              <w:contextualSpacing/>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val="en-US" w:eastAsia="zh-CN"/>
              </w:rPr>
              <w:t>1</w:t>
            </w:r>
            <w:r>
              <w:rPr>
                <w:rFonts w:hint="default" w:ascii="Times New Roman" w:hAnsi="Times New Roman" w:eastAsia="仿宋_GB2312" w:cs="Times New Roman"/>
                <w:color w:val="000000"/>
                <w:sz w:val="24"/>
                <w:szCs w:val="24"/>
              </w:rPr>
              <w:t>.00</w:t>
            </w:r>
          </w:p>
        </w:tc>
        <w:tc>
          <w:tcPr>
            <w:tcW w:w="3685" w:type="dxa"/>
            <w:noWrap w:val="0"/>
            <w:vAlign w:val="center"/>
          </w:tcPr>
          <w:p>
            <w:pPr>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关于部分募投项目节余募集资金永久补充流动资金的议案</w:t>
            </w:r>
          </w:p>
        </w:tc>
        <w:tc>
          <w:tcPr>
            <w:tcW w:w="1276" w:type="dxa"/>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709" w:type="dxa"/>
            <w:noWrap w:val="0"/>
            <w:vAlign w:val="top"/>
          </w:tcPr>
          <w:p>
            <w:pPr>
              <w:jc w:val="center"/>
              <w:rPr>
                <w:rFonts w:hint="default" w:ascii="Times New Roman" w:hAnsi="Times New Roman" w:eastAsia="仿宋" w:cs="Times New Roman"/>
                <w:sz w:val="24"/>
                <w:szCs w:val="24"/>
              </w:rPr>
            </w:pPr>
          </w:p>
        </w:tc>
        <w:tc>
          <w:tcPr>
            <w:tcW w:w="708" w:type="dxa"/>
            <w:noWrap w:val="0"/>
            <w:vAlign w:val="top"/>
          </w:tcPr>
          <w:p>
            <w:pPr>
              <w:jc w:val="center"/>
              <w:rPr>
                <w:rFonts w:hint="default" w:ascii="Times New Roman" w:hAnsi="Times New Roman" w:eastAsia="仿宋" w:cs="Times New Roman"/>
                <w:sz w:val="24"/>
                <w:szCs w:val="24"/>
              </w:rPr>
            </w:pPr>
          </w:p>
        </w:tc>
        <w:tc>
          <w:tcPr>
            <w:tcW w:w="709" w:type="dxa"/>
            <w:noWrap w:val="0"/>
            <w:vAlign w:val="top"/>
          </w:tcPr>
          <w:p>
            <w:pPr>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0"/>
            <w:vAlign w:val="center"/>
          </w:tcPr>
          <w:p>
            <w:pPr>
              <w:spacing w:line="360" w:lineRule="exact"/>
              <w:contextualSpacing/>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w:t>
            </w:r>
            <w:r>
              <w:rPr>
                <w:rFonts w:hint="default" w:ascii="Times New Roman" w:hAnsi="Times New Roman" w:eastAsia="仿宋_GB2312" w:cs="Times New Roman"/>
                <w:color w:val="000000"/>
                <w:sz w:val="24"/>
                <w:szCs w:val="24"/>
              </w:rPr>
              <w:t>.00</w:t>
            </w:r>
          </w:p>
        </w:tc>
        <w:tc>
          <w:tcPr>
            <w:tcW w:w="3685" w:type="dxa"/>
            <w:noWrap w:val="0"/>
            <w:vAlign w:val="center"/>
          </w:tcPr>
          <w:p>
            <w:pPr>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关于公司2026年日常关联交易预计情况的议案</w:t>
            </w:r>
          </w:p>
        </w:tc>
        <w:tc>
          <w:tcPr>
            <w:tcW w:w="1276" w:type="dxa"/>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709" w:type="dxa"/>
            <w:noWrap w:val="0"/>
            <w:vAlign w:val="top"/>
          </w:tcPr>
          <w:p>
            <w:pPr>
              <w:jc w:val="center"/>
              <w:rPr>
                <w:rFonts w:hint="default" w:ascii="Times New Roman" w:hAnsi="Times New Roman" w:eastAsia="仿宋" w:cs="Times New Roman"/>
                <w:sz w:val="24"/>
                <w:szCs w:val="24"/>
              </w:rPr>
            </w:pPr>
          </w:p>
        </w:tc>
        <w:tc>
          <w:tcPr>
            <w:tcW w:w="708" w:type="dxa"/>
            <w:noWrap w:val="0"/>
            <w:vAlign w:val="top"/>
          </w:tcPr>
          <w:p>
            <w:pPr>
              <w:jc w:val="center"/>
              <w:rPr>
                <w:rFonts w:hint="default" w:ascii="Times New Roman" w:hAnsi="Times New Roman" w:eastAsia="仿宋" w:cs="Times New Roman"/>
                <w:sz w:val="24"/>
                <w:szCs w:val="24"/>
              </w:rPr>
            </w:pPr>
          </w:p>
        </w:tc>
        <w:tc>
          <w:tcPr>
            <w:tcW w:w="709" w:type="dxa"/>
            <w:noWrap w:val="0"/>
            <w:vAlign w:val="top"/>
          </w:tcPr>
          <w:p>
            <w:pPr>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0"/>
            <w:vAlign w:val="center"/>
          </w:tcPr>
          <w:p>
            <w:pPr>
              <w:spacing w:line="360" w:lineRule="exact"/>
              <w:contextualSpacing/>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3</w:t>
            </w:r>
            <w:r>
              <w:rPr>
                <w:rFonts w:hint="default" w:ascii="Times New Roman" w:hAnsi="Times New Roman" w:eastAsia="仿宋_GB2312" w:cs="Times New Roman"/>
                <w:color w:val="000000"/>
                <w:sz w:val="24"/>
                <w:szCs w:val="24"/>
              </w:rPr>
              <w:t>.00</w:t>
            </w:r>
          </w:p>
        </w:tc>
        <w:tc>
          <w:tcPr>
            <w:tcW w:w="3685" w:type="dxa"/>
            <w:noWrap w:val="0"/>
            <w:vAlign w:val="center"/>
          </w:tcPr>
          <w:p>
            <w:pPr>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关于公司2026年存、贷款关联交易预计情况的议案</w:t>
            </w:r>
          </w:p>
        </w:tc>
        <w:tc>
          <w:tcPr>
            <w:tcW w:w="1276" w:type="dxa"/>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709" w:type="dxa"/>
            <w:noWrap w:val="0"/>
            <w:vAlign w:val="top"/>
          </w:tcPr>
          <w:p>
            <w:pPr>
              <w:jc w:val="center"/>
              <w:rPr>
                <w:rFonts w:hint="default" w:ascii="Times New Roman" w:hAnsi="Times New Roman" w:eastAsia="仿宋" w:cs="Times New Roman"/>
                <w:sz w:val="24"/>
                <w:szCs w:val="24"/>
              </w:rPr>
            </w:pPr>
          </w:p>
        </w:tc>
        <w:tc>
          <w:tcPr>
            <w:tcW w:w="708" w:type="dxa"/>
            <w:noWrap w:val="0"/>
            <w:vAlign w:val="top"/>
          </w:tcPr>
          <w:p>
            <w:pPr>
              <w:jc w:val="center"/>
              <w:rPr>
                <w:rFonts w:hint="default" w:ascii="Times New Roman" w:hAnsi="Times New Roman" w:eastAsia="仿宋" w:cs="Times New Roman"/>
                <w:sz w:val="24"/>
                <w:szCs w:val="24"/>
              </w:rPr>
            </w:pPr>
          </w:p>
        </w:tc>
        <w:tc>
          <w:tcPr>
            <w:tcW w:w="709" w:type="dxa"/>
            <w:noWrap w:val="0"/>
            <w:vAlign w:val="top"/>
          </w:tcPr>
          <w:p>
            <w:pPr>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0"/>
            <w:vAlign w:val="center"/>
          </w:tcPr>
          <w:p>
            <w:pPr>
              <w:spacing w:line="360" w:lineRule="exact"/>
              <w:contextualSpacing/>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4</w:t>
            </w:r>
            <w:r>
              <w:rPr>
                <w:rFonts w:hint="default" w:ascii="Times New Roman" w:hAnsi="Times New Roman" w:eastAsia="仿宋_GB2312" w:cs="Times New Roman"/>
                <w:color w:val="000000"/>
                <w:sz w:val="24"/>
                <w:szCs w:val="24"/>
              </w:rPr>
              <w:t>.00</w:t>
            </w:r>
          </w:p>
        </w:tc>
        <w:tc>
          <w:tcPr>
            <w:tcW w:w="3685" w:type="dxa"/>
            <w:noWrap w:val="0"/>
            <w:vAlign w:val="center"/>
          </w:tcPr>
          <w:p>
            <w:pPr>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关于续聘2025年度</w:t>
            </w:r>
            <w:r>
              <w:rPr>
                <w:rFonts w:hint="eastAsia" w:eastAsia="仿宋" w:cs="Times New Roman"/>
                <w:sz w:val="24"/>
                <w:szCs w:val="24"/>
                <w:lang w:eastAsia="zh-CN"/>
              </w:rPr>
              <w:t>财务</w:t>
            </w:r>
            <w:r>
              <w:rPr>
                <w:rFonts w:hint="default" w:ascii="Times New Roman" w:hAnsi="Times New Roman" w:eastAsia="仿宋" w:cs="Times New Roman"/>
                <w:sz w:val="24"/>
                <w:szCs w:val="24"/>
              </w:rPr>
              <w:t>审计机构及其报酬事项的议案</w:t>
            </w:r>
          </w:p>
        </w:tc>
        <w:tc>
          <w:tcPr>
            <w:tcW w:w="1276" w:type="dxa"/>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709" w:type="dxa"/>
            <w:noWrap w:val="0"/>
            <w:vAlign w:val="top"/>
          </w:tcPr>
          <w:p>
            <w:pPr>
              <w:jc w:val="center"/>
              <w:rPr>
                <w:rFonts w:hint="default" w:ascii="Times New Roman" w:hAnsi="Times New Roman" w:eastAsia="仿宋" w:cs="Times New Roman"/>
                <w:sz w:val="24"/>
                <w:szCs w:val="24"/>
              </w:rPr>
            </w:pPr>
          </w:p>
        </w:tc>
        <w:tc>
          <w:tcPr>
            <w:tcW w:w="708" w:type="dxa"/>
            <w:noWrap w:val="0"/>
            <w:vAlign w:val="top"/>
          </w:tcPr>
          <w:p>
            <w:pPr>
              <w:jc w:val="center"/>
              <w:rPr>
                <w:rFonts w:hint="default" w:ascii="Times New Roman" w:hAnsi="Times New Roman" w:eastAsia="仿宋" w:cs="Times New Roman"/>
                <w:sz w:val="24"/>
                <w:szCs w:val="24"/>
              </w:rPr>
            </w:pPr>
          </w:p>
        </w:tc>
        <w:tc>
          <w:tcPr>
            <w:tcW w:w="709" w:type="dxa"/>
            <w:noWrap w:val="0"/>
            <w:vAlign w:val="top"/>
          </w:tcPr>
          <w:p>
            <w:pPr>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0"/>
            <w:vAlign w:val="center"/>
          </w:tcPr>
          <w:p>
            <w:pPr>
              <w:spacing w:line="360" w:lineRule="exact"/>
              <w:contextualSpacing/>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5</w:t>
            </w:r>
            <w:r>
              <w:rPr>
                <w:rFonts w:hint="default" w:ascii="Times New Roman" w:hAnsi="Times New Roman" w:eastAsia="仿宋_GB2312" w:cs="Times New Roman"/>
                <w:color w:val="000000"/>
                <w:sz w:val="24"/>
                <w:szCs w:val="24"/>
              </w:rPr>
              <w:t>.00</w:t>
            </w:r>
          </w:p>
        </w:tc>
        <w:tc>
          <w:tcPr>
            <w:tcW w:w="3685" w:type="dxa"/>
            <w:noWrap w:val="0"/>
            <w:vAlign w:val="center"/>
          </w:tcPr>
          <w:p>
            <w:pPr>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关于聘请2025年度内部控制审计机构及其报酬事项的议案</w:t>
            </w:r>
          </w:p>
        </w:tc>
        <w:tc>
          <w:tcPr>
            <w:tcW w:w="1276" w:type="dxa"/>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709" w:type="dxa"/>
            <w:noWrap w:val="0"/>
            <w:vAlign w:val="top"/>
          </w:tcPr>
          <w:p>
            <w:pPr>
              <w:jc w:val="center"/>
              <w:rPr>
                <w:rFonts w:hint="default" w:ascii="Times New Roman" w:hAnsi="Times New Roman" w:eastAsia="仿宋" w:cs="Times New Roman"/>
                <w:sz w:val="24"/>
                <w:szCs w:val="24"/>
              </w:rPr>
            </w:pPr>
          </w:p>
        </w:tc>
        <w:tc>
          <w:tcPr>
            <w:tcW w:w="708" w:type="dxa"/>
            <w:noWrap w:val="0"/>
            <w:vAlign w:val="top"/>
          </w:tcPr>
          <w:p>
            <w:pPr>
              <w:jc w:val="center"/>
              <w:rPr>
                <w:rFonts w:hint="default" w:ascii="Times New Roman" w:hAnsi="Times New Roman" w:eastAsia="仿宋" w:cs="Times New Roman"/>
                <w:sz w:val="24"/>
                <w:szCs w:val="24"/>
              </w:rPr>
            </w:pPr>
          </w:p>
        </w:tc>
        <w:tc>
          <w:tcPr>
            <w:tcW w:w="709" w:type="dxa"/>
            <w:noWrap w:val="0"/>
            <w:vAlign w:val="top"/>
          </w:tcPr>
          <w:p>
            <w:pPr>
              <w:jc w:val="center"/>
              <w:rPr>
                <w:rFonts w:hint="default" w:ascii="Times New Roman" w:hAnsi="Times New Roman" w:eastAsia="仿宋" w:cs="Times New Roman"/>
                <w:sz w:val="24"/>
                <w:szCs w:val="24"/>
              </w:rPr>
            </w:pPr>
          </w:p>
        </w:tc>
      </w:tr>
    </w:tbl>
    <w:p>
      <w:pPr>
        <w:keepNext w:val="0"/>
        <w:keepLines w:val="0"/>
        <w:pageBreakBefore w:val="0"/>
        <w:widowControl/>
        <w:kinsoku/>
        <w:wordWrap/>
        <w:overflowPunct/>
        <w:topLinePunct w:val="0"/>
        <w:autoSpaceDE/>
        <w:autoSpaceDN/>
        <w:bidi w:val="0"/>
        <w:adjustRightInd w:val="0"/>
        <w:snapToGrid/>
        <w:spacing w:before="156" w:beforeLines="50" w:line="300" w:lineRule="exact"/>
        <w:ind w:firstLine="480" w:firstLineChars="200"/>
        <w:jc w:val="left"/>
        <w:textAlignment w:val="center"/>
        <w:rPr>
          <w:rFonts w:hint="default" w:ascii="Times New Roman" w:hAnsi="Times New Roman" w:eastAsia="仿宋_GB2312" w:cs="Times New Roman"/>
          <w:color w:val="000000"/>
          <w:sz w:val="32"/>
          <w:highlight w:val="none"/>
          <w:lang w:val="en-US" w:eastAsia="zh-CN"/>
        </w:rPr>
      </w:pPr>
      <w:r>
        <w:rPr>
          <w:rFonts w:hint="default" w:ascii="Times New Roman" w:hAnsi="Times New Roman" w:eastAsia="仿宋_GB2312" w:cs="Times New Roman"/>
          <w:color w:val="000000"/>
          <w:sz w:val="24"/>
        </w:rPr>
        <w:t>注：</w:t>
      </w:r>
      <w:r>
        <w:rPr>
          <w:rFonts w:hint="default" w:ascii="Times New Roman" w:hAnsi="Times New Roman" w:eastAsia="仿宋_GB2312" w:cs="Times New Roman"/>
          <w:color w:val="000000"/>
          <w:sz w:val="24"/>
          <w:highlight w:val="none"/>
        </w:rPr>
        <w:t>请在表决结果的“同意”、“反对”、“弃权”项下，用“√”标明表决结果。同一议案只能标明一处表决结果，或“同意”或“反对”或“弃权”，都未标明的视为弃权，标明了两处或三处的视为无效，计入无效票数。委托人应在授权委托书相应栏目中用“√”明确授权委托人投票。本授权委托书剪报、复印或按以上格式重新打印均有效。关联股东国家能源集团对议案2.00</w:t>
      </w:r>
      <w:r>
        <w:rPr>
          <w:rFonts w:hint="default" w:ascii="Times New Roman" w:hAnsi="Times New Roman" w:eastAsia="仿宋_GB2312" w:cs="Times New Roman"/>
          <w:color w:val="000000"/>
          <w:sz w:val="24"/>
          <w:highlight w:val="none"/>
          <w:lang w:eastAsia="zh-CN"/>
        </w:rPr>
        <w:t>、</w:t>
      </w:r>
      <w:r>
        <w:rPr>
          <w:rFonts w:hint="default" w:ascii="Times New Roman" w:hAnsi="Times New Roman" w:eastAsia="仿宋_GB2312" w:cs="Times New Roman"/>
          <w:color w:val="000000"/>
          <w:sz w:val="24"/>
          <w:szCs w:val="24"/>
          <w:lang w:val="en-US" w:eastAsia="zh-CN"/>
        </w:rPr>
        <w:t>3</w:t>
      </w:r>
      <w:r>
        <w:rPr>
          <w:rFonts w:hint="default" w:ascii="Times New Roman" w:hAnsi="Times New Roman" w:eastAsia="仿宋_GB2312" w:cs="Times New Roman"/>
          <w:color w:val="000000"/>
          <w:sz w:val="24"/>
          <w:szCs w:val="24"/>
        </w:rPr>
        <w:t>.00</w:t>
      </w:r>
      <w:r>
        <w:rPr>
          <w:rFonts w:hint="default" w:ascii="Times New Roman" w:hAnsi="Times New Roman" w:eastAsia="仿宋_GB2312" w:cs="Times New Roman"/>
          <w:color w:val="000000"/>
          <w:sz w:val="24"/>
          <w:highlight w:val="none"/>
        </w:rPr>
        <w:t>回避表决</w:t>
      </w:r>
      <w:r>
        <w:rPr>
          <w:rFonts w:hint="default" w:ascii="Times New Roman" w:hAnsi="Times New Roman" w:eastAsia="仿宋_GB2312" w:cs="Times New Roman"/>
          <w:color w:val="000000"/>
          <w:sz w:val="24"/>
          <w:highlight w:val="none"/>
          <w:lang w:eastAsia="zh-CN"/>
        </w:rPr>
        <w:t>。</w:t>
      </w:r>
    </w:p>
    <w:p>
      <w:pPr>
        <w:keepNext w:val="0"/>
        <w:keepLines w:val="0"/>
        <w:pageBreakBefore w:val="0"/>
        <w:widowControl/>
        <w:kinsoku/>
        <w:wordWrap/>
        <w:overflowPunct/>
        <w:topLinePunct w:val="0"/>
        <w:autoSpaceDE/>
        <w:autoSpaceDN/>
        <w:bidi w:val="0"/>
        <w:adjustRightInd w:val="0"/>
        <w:snapToGrid/>
        <w:spacing w:before="156" w:beforeLines="50" w:line="300" w:lineRule="exact"/>
        <w:ind w:firstLine="640" w:firstLineChars="200"/>
        <w:jc w:val="left"/>
        <w:textAlignment w:val="center"/>
        <w:rPr>
          <w:rFonts w:hint="default" w:ascii="Times New Roman" w:hAnsi="Times New Roman" w:eastAsia="仿宋_GB2312" w:cs="Times New Roman"/>
          <w:color w:val="000000"/>
          <w:sz w:val="32"/>
          <w:highlight w:val="none"/>
          <w:lang w:val="en-US" w:eastAsia="zh-CN"/>
        </w:rPr>
      </w:pPr>
    </w:p>
    <w:p>
      <w:pPr>
        <w:spacing w:before="100" w:after="100" w:line="560" w:lineRule="exact"/>
        <w:jc w:val="left"/>
        <w:rPr>
          <w:rFonts w:hint="default" w:ascii="Times New Roman" w:hAnsi="Times New Roman" w:eastAsia="宋体" w:cs="Times New Roman"/>
          <w:sz w:val="24"/>
          <w:szCs w:val="24"/>
        </w:rPr>
      </w:pPr>
    </w:p>
    <w:sectPr>
      <w:headerReference r:id="rId3" w:type="default"/>
      <w:footerReference r:id="rId5" w:type="default"/>
      <w:headerReference r:id="rId4" w:type="even"/>
      <w:pgSz w:w="11906" w:h="16838"/>
      <w:pgMar w:top="1418" w:right="1758" w:bottom="1134" w:left="175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rPr>
      <w:t>10</w:t>
    </w:r>
    <w:r>
      <w:rPr>
        <w:rFonts w:ascii="宋体" w:hAnsi="宋体"/>
        <w:sz w:val="21"/>
        <w:szCs w:val="21"/>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B9529"/>
    <w:multiLevelType w:val="singleLevel"/>
    <w:tmpl w:val="82EB9529"/>
    <w:lvl w:ilvl="0" w:tentative="0">
      <w:start w:val="3"/>
      <w:numFmt w:val="decimal"/>
      <w:suff w:val="nothing"/>
      <w:lvlText w:val="（%1）"/>
      <w:lvlJc w:val="left"/>
    </w:lvl>
  </w:abstractNum>
  <w:abstractNum w:abstractNumId="1">
    <w:nsid w:val="DE391AA4"/>
    <w:multiLevelType w:val="singleLevel"/>
    <w:tmpl w:val="DE391AA4"/>
    <w:lvl w:ilvl="0" w:tentative="0">
      <w:start w:val="3"/>
      <w:numFmt w:val="decimal"/>
      <w:suff w:val="space"/>
      <w:lvlText w:val="%1."/>
      <w:lvlJc w:val="left"/>
    </w:lvl>
  </w:abstractNum>
  <w:abstractNum w:abstractNumId="2">
    <w:nsid w:val="0A4AB7DB"/>
    <w:multiLevelType w:val="singleLevel"/>
    <w:tmpl w:val="0A4AB7DB"/>
    <w:lvl w:ilvl="0" w:tentative="0">
      <w:start w:val="1"/>
      <w:numFmt w:val="decimal"/>
      <w:suff w:val="space"/>
      <w:lvlText w:val="%1."/>
      <w:lvlJc w:val="left"/>
      <w:rPr>
        <w:rFonts w:hint="default" w:ascii="Times New Roman" w:hAnsi="Times New Roman" w:cs="Times New Roman"/>
        <w:sz w:val="28"/>
        <w:szCs w:val="28"/>
      </w:rPr>
    </w:lvl>
  </w:abstractNum>
  <w:abstractNum w:abstractNumId="3">
    <w:nsid w:val="182D3E94"/>
    <w:multiLevelType w:val="singleLevel"/>
    <w:tmpl w:val="182D3E94"/>
    <w:lvl w:ilvl="0" w:tentative="0">
      <w:start w:val="1"/>
      <w:numFmt w:val="decimal"/>
      <w:suff w:val="nothing"/>
      <w:lvlText w:val="（%1）"/>
      <w:lvlJc w:val="left"/>
    </w:lvl>
  </w:abstractNum>
  <w:abstractNum w:abstractNumId="4">
    <w:nsid w:val="43E140B9"/>
    <w:multiLevelType w:val="singleLevel"/>
    <w:tmpl w:val="43E140B9"/>
    <w:lvl w:ilvl="0" w:tentative="0">
      <w:start w:val="2"/>
      <w:numFmt w:val="decimal"/>
      <w:suff w:val="nothing"/>
      <w:lvlText w:val="（%1）"/>
      <w:lvlJc w:val="left"/>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trackRevisions w:val="1"/>
  <w:documentProtection w:enforcement="0"/>
  <w:compat>
    <w:doNotExpandShiftReturn/>
    <w:useFELayout/>
    <w:compatSetting w:name="compatibilityMode" w:uri="http://schemas.microsoft.com/office/word" w:val="14"/>
  </w:compat>
  <w:rsids>
    <w:rsidRoot w:val="00000000"/>
    <w:rsid w:val="067C7000"/>
    <w:rsid w:val="0AC87AAE"/>
    <w:rsid w:val="0FF37B1A"/>
    <w:rsid w:val="25E575AE"/>
    <w:rsid w:val="2B7263F9"/>
    <w:rsid w:val="2B964A07"/>
    <w:rsid w:val="2D131FB8"/>
    <w:rsid w:val="2F595BDE"/>
    <w:rsid w:val="5905645A"/>
    <w:rsid w:val="70190FE7"/>
    <w:rsid w:val="77527F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left"/>
    </w:pPr>
    <w:rPr>
      <w:rFonts w:ascii="Times New Roman" w:hAnsi="Times New Roman" w:eastAsia="宋体" w:cs="Times New Roman"/>
      <w:sz w:val="21"/>
      <w:szCs w:val="22"/>
    </w:rPr>
  </w:style>
  <w:style w:type="paragraph" w:styleId="3">
    <w:name w:val="heading 2"/>
    <w:basedOn w:val="1"/>
    <w:next w:val="1"/>
    <w:unhideWhenUsed/>
    <w:qFormat/>
    <w:uiPriority w:val="9"/>
    <w:pPr>
      <w:keepNext/>
      <w:keepLines/>
      <w:spacing w:before="156" w:after="156" w:line="240" w:lineRule="auto"/>
      <w:outlineLvl w:val="1"/>
    </w:pPr>
    <w:rPr>
      <w:sz w:val="21"/>
      <w:szCs w:val="21"/>
    </w:rPr>
  </w:style>
  <w:style w:type="paragraph" w:styleId="4">
    <w:name w:val="heading 3"/>
    <w:basedOn w:val="1"/>
    <w:next w:val="1"/>
    <w:qFormat/>
    <w:uiPriority w:val="99"/>
    <w:pPr>
      <w:keepNext/>
      <w:keepLines/>
      <w:spacing w:before="300" w:after="300" w:line="241" w:lineRule="auto"/>
      <w:jc w:val="both"/>
      <w:outlineLvl w:val="2"/>
    </w:pPr>
    <w:rPr>
      <w:rFonts w:eastAsia="宋体"/>
      <w:sz w:val="21"/>
      <w:szCs w:val="21"/>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5">
    <w:name w:val="footer"/>
    <w:basedOn w:val="1"/>
    <w:unhideWhenUsed/>
    <w:qFormat/>
    <w:uiPriority w:val="99"/>
    <w:pPr>
      <w:tabs>
        <w:tab w:val="center" w:pos="4153"/>
        <w:tab w:val="right" w:pos="8306"/>
      </w:tabs>
      <w:snapToGrid w:val="0"/>
      <w:jc w:val="left"/>
    </w:pPr>
    <w:rPr>
      <w:rFonts w:ascii="Calibri" w:hAnsi="Calibri"/>
      <w:kern w:val="0"/>
      <w:sz w:val="18"/>
      <w:szCs w:val="18"/>
      <w:lang w:val="zh-CN"/>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lang w:val="zh-CN"/>
    </w:rPr>
  </w:style>
  <w:style w:type="paragraph" w:styleId="7">
    <w:name w:val="toc 1"/>
    <w:basedOn w:val="1"/>
    <w:next w:val="1"/>
    <w:qFormat/>
    <w:uiPriority w:val="39"/>
  </w:style>
  <w:style w:type="paragraph" w:styleId="8">
    <w:name w:val="toc 2"/>
    <w:basedOn w:val="1"/>
    <w:next w:val="1"/>
    <w:unhideWhenUsed/>
    <w:qFormat/>
    <w:uiPriority w:val="39"/>
    <w:pPr>
      <w:ind w:left="420" w:left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2">
    <w:name w:val="Header 1"/>
    <w:qFormat/>
    <w:uiPriority w:val="0"/>
    <w:pPr>
      <w:jc w:val="right"/>
    </w:pPr>
    <w:rPr>
      <w:rFonts w:ascii="宋体" w:hAnsi="Times New Roman" w:eastAsia="宋体" w:cs="Times New Roman"/>
      <w:sz w:val="18"/>
      <w:szCs w:val="18"/>
    </w:rPr>
  </w:style>
  <w:style w:type="paragraph" w:customStyle="1" w:styleId="13">
    <w:name w:val="heading h1"/>
    <w:basedOn w:val="1"/>
    <w:next w:val="1"/>
    <w:qFormat/>
    <w:uiPriority w:val="9"/>
    <w:pPr>
      <w:keepNext/>
      <w:keepLines/>
      <w:spacing w:before="240" w:after="240" w:line="578" w:lineRule="auto"/>
      <w:outlineLvl w:val="0"/>
    </w:pPr>
    <w:rPr>
      <w:kern w:val="44"/>
      <w:sz w:val="44"/>
      <w:szCs w:val="44"/>
    </w:rPr>
  </w:style>
  <w:style w:type="paragraph" w:customStyle="1" w:styleId="14">
    <w:name w:val="fotter 1"/>
    <w:qFormat/>
    <w:uiPriority w:val="0"/>
    <w:pPr>
      <w:jc w:val="right"/>
    </w:pPr>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TotalTime>8</TotalTime>
  <ScaleCrop>false</ScaleCrop>
  <LinksUpToDate>false</LinksUpToDate>
  <Application>WPS Office_11.8.2.11716_F1E327BC-269C-435d-A152-05C5408002CA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2025-12-03T01:40:00Z</dcterms:created>
  <dc:creator>LSadmin</dc:creator>
  <cp:lastModifiedBy>刘硕02</cp:lastModifiedBy>
  <dcterms:modified xsi:type="dcterms:W3CDTF">2025-12-04T08:40:06Z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9BEC3B9D43CE46998E4D4AE830EC9114</vt:lpwstr>
  </property>
</Properties>
</file>